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9F45D7">
      <w:pPr>
        <w:jc w:val="center"/>
        <w:rPr>
          <w:rFonts w:hint="eastAsia"/>
          <w:b/>
          <w:bCs/>
          <w:sz w:val="28"/>
          <w:szCs w:val="28"/>
          <w:lang w:val="en-US" w:eastAsia="zh-CN"/>
        </w:rPr>
      </w:pPr>
      <w:r>
        <w:rPr>
          <w:rFonts w:hint="eastAsia"/>
          <w:b/>
          <w:bCs/>
          <w:sz w:val="28"/>
          <w:szCs w:val="28"/>
          <w:lang w:val="en-US" w:eastAsia="zh-CN"/>
        </w:rPr>
        <w:t>采购需求</w:t>
      </w:r>
    </w:p>
    <w:p w14:paraId="478B89BA">
      <w:pPr>
        <w:rPr>
          <w:rFonts w:hint="eastAsia"/>
          <w:lang w:val="en-US" w:eastAsia="zh-CN"/>
        </w:rPr>
      </w:pPr>
    </w:p>
    <w:tbl>
      <w:tblPr>
        <w:tblStyle w:val="4"/>
        <w:tblW w:w="9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1482"/>
        <w:gridCol w:w="6939"/>
        <w:gridCol w:w="854"/>
      </w:tblGrid>
      <w:tr w14:paraId="7B42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9864" w:type="dxa"/>
            <w:gridSpan w:val="4"/>
            <w:shd w:val="clear" w:color="auto" w:fill="B5C7EA" w:themeFill="accent1" w:themeFillTint="66"/>
            <w:vAlign w:val="center"/>
          </w:tcPr>
          <w:p w14:paraId="1716A11E">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★一、项目要求及服务需求</w:t>
            </w:r>
          </w:p>
        </w:tc>
      </w:tr>
      <w:tr w14:paraId="1DE08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Align w:val="center"/>
          </w:tcPr>
          <w:p w14:paraId="0BBCE06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项号</w:t>
            </w:r>
          </w:p>
        </w:tc>
        <w:tc>
          <w:tcPr>
            <w:tcW w:w="1482" w:type="dxa"/>
            <w:vAlign w:val="center"/>
          </w:tcPr>
          <w:p w14:paraId="09673C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服务名称</w:t>
            </w:r>
          </w:p>
        </w:tc>
        <w:tc>
          <w:tcPr>
            <w:tcW w:w="6939" w:type="dxa"/>
            <w:vAlign w:val="center"/>
          </w:tcPr>
          <w:p w14:paraId="3E98B9A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服务内容要求</w:t>
            </w:r>
          </w:p>
        </w:tc>
        <w:tc>
          <w:tcPr>
            <w:tcW w:w="854" w:type="dxa"/>
            <w:vAlign w:val="center"/>
          </w:tcPr>
          <w:p w14:paraId="6FA5A08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数量及</w:t>
            </w:r>
          </w:p>
          <w:p w14:paraId="5FF1B6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单位</w:t>
            </w:r>
          </w:p>
        </w:tc>
      </w:tr>
      <w:tr w14:paraId="7A82C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Align w:val="center"/>
          </w:tcPr>
          <w:p w14:paraId="170863B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w:t>
            </w:r>
          </w:p>
        </w:tc>
        <w:tc>
          <w:tcPr>
            <w:tcW w:w="1482" w:type="dxa"/>
            <w:vAlign w:val="center"/>
          </w:tcPr>
          <w:p w14:paraId="55BD605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lang w:eastAsia="zh-CN"/>
              </w:rPr>
              <w:t>广西师范大学附属中学校园</w:t>
            </w:r>
            <w:r>
              <w:rPr>
                <w:rFonts w:hint="eastAsia" w:ascii="宋体" w:hAnsi="宋体" w:eastAsia="宋体" w:cs="宋体"/>
                <w:color w:val="auto"/>
                <w:sz w:val="21"/>
                <w:szCs w:val="21"/>
                <w:lang w:val="en-US" w:eastAsia="zh-CN"/>
              </w:rPr>
              <w:t>安保</w:t>
            </w:r>
            <w:r>
              <w:rPr>
                <w:rFonts w:hint="eastAsia" w:ascii="宋体" w:hAnsi="宋体" w:eastAsia="宋体" w:cs="宋体"/>
                <w:color w:val="auto"/>
                <w:sz w:val="21"/>
                <w:szCs w:val="21"/>
                <w:lang w:eastAsia="zh-CN"/>
              </w:rPr>
              <w:t>服务</w:t>
            </w:r>
          </w:p>
        </w:tc>
        <w:tc>
          <w:tcPr>
            <w:tcW w:w="6939" w:type="dxa"/>
            <w:vAlign w:val="center"/>
          </w:tcPr>
          <w:p w14:paraId="464DA39A">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val="en-US" w:eastAsia="zh-CN" w:bidi="ar"/>
              </w:rPr>
              <w:t>一、项目概况</w:t>
            </w:r>
          </w:p>
          <w:p w14:paraId="068A2967">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val="en-US" w:eastAsia="zh-CN" w:bidi="ar"/>
              </w:rPr>
              <w:t>（一）服务地址</w:t>
            </w:r>
          </w:p>
          <w:p w14:paraId="25D8F2AE">
            <w:pPr>
              <w:keepNext w:val="0"/>
              <w:keepLines w:val="0"/>
              <w:pageBreakBefore w:val="0"/>
              <w:widowControl/>
              <w:suppressLineNumbers w:val="0"/>
              <w:shd w:val="clear"/>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bCs/>
                <w:color w:val="auto"/>
                <w:kern w:val="0"/>
                <w:sz w:val="21"/>
                <w:szCs w:val="21"/>
                <w:shd w:val="clear"/>
                <w:lang w:val="en-US" w:eastAsia="zh-CN" w:bidi="ar"/>
              </w:rPr>
            </w:pPr>
            <w:r>
              <w:rPr>
                <w:rFonts w:hint="eastAsia" w:ascii="宋体" w:hAnsi="宋体" w:eastAsia="宋体" w:cs="宋体"/>
                <w:color w:val="auto"/>
                <w:sz w:val="21"/>
                <w:szCs w:val="21"/>
                <w:shd w:val="clear"/>
                <w:lang w:eastAsia="zh-CN"/>
              </w:rPr>
              <w:t>广西师范大学附属中学初中部（</w:t>
            </w:r>
            <w:r>
              <w:rPr>
                <w:rFonts w:hint="eastAsia" w:ascii="宋体" w:hAnsi="宋体" w:eastAsia="宋体" w:cs="宋体"/>
                <w:i w:val="0"/>
                <w:iCs w:val="0"/>
                <w:caps w:val="0"/>
                <w:color w:val="auto"/>
                <w:spacing w:val="0"/>
                <w:sz w:val="21"/>
                <w:szCs w:val="21"/>
                <w:shd w:val="clear"/>
              </w:rPr>
              <w:t>桂林市</w:t>
            </w:r>
            <w:r>
              <w:rPr>
                <w:rFonts w:hint="eastAsia" w:ascii="宋体" w:hAnsi="宋体" w:eastAsia="宋体" w:cs="宋体"/>
                <w:i w:val="0"/>
                <w:iCs w:val="0"/>
                <w:caps w:val="0"/>
                <w:color w:val="auto"/>
                <w:spacing w:val="0"/>
                <w:sz w:val="21"/>
                <w:szCs w:val="21"/>
                <w:shd w:val="clear"/>
                <w:lang w:eastAsia="zh-CN"/>
              </w:rPr>
              <w:t>中山北路</w:t>
            </w:r>
            <w:r>
              <w:rPr>
                <w:rFonts w:hint="eastAsia" w:ascii="宋体" w:hAnsi="宋体" w:eastAsia="宋体" w:cs="宋体"/>
                <w:i w:val="0"/>
                <w:iCs w:val="0"/>
                <w:caps w:val="0"/>
                <w:color w:val="auto"/>
                <w:spacing w:val="0"/>
                <w:sz w:val="21"/>
                <w:szCs w:val="21"/>
                <w:shd w:val="clear"/>
                <w:lang w:val="en-US" w:eastAsia="zh-CN"/>
              </w:rPr>
              <w:t>15</w:t>
            </w:r>
            <w:r>
              <w:rPr>
                <w:rFonts w:hint="eastAsia" w:ascii="宋体" w:hAnsi="宋体" w:eastAsia="宋体" w:cs="宋体"/>
                <w:i w:val="0"/>
                <w:iCs w:val="0"/>
                <w:caps w:val="0"/>
                <w:color w:val="auto"/>
                <w:spacing w:val="0"/>
                <w:sz w:val="21"/>
                <w:szCs w:val="21"/>
                <w:shd w:val="clear"/>
              </w:rPr>
              <w:t>号</w:t>
            </w:r>
            <w:r>
              <w:rPr>
                <w:rFonts w:hint="eastAsia" w:ascii="宋体" w:hAnsi="宋体" w:eastAsia="宋体" w:cs="宋体"/>
                <w:color w:val="auto"/>
                <w:sz w:val="21"/>
                <w:szCs w:val="21"/>
                <w:shd w:val="clear"/>
                <w:lang w:eastAsia="zh-CN"/>
              </w:rPr>
              <w:t>）</w:t>
            </w:r>
          </w:p>
          <w:p w14:paraId="0CA445A7">
            <w:pPr>
              <w:keepNext w:val="0"/>
              <w:keepLines w:val="0"/>
              <w:pageBreakBefore w:val="0"/>
              <w:widowControl/>
              <w:numPr>
                <w:ilvl w:val="0"/>
                <w:numId w:val="1"/>
              </w:numPr>
              <w:suppressLineNumbers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服务范围</w:t>
            </w:r>
          </w:p>
          <w:p w14:paraId="0DC72D83">
            <w:pPr>
              <w:keepNext w:val="0"/>
              <w:keepLines w:val="0"/>
              <w:pageBreakBefore w:val="0"/>
              <w:widowControl/>
              <w:suppressLineNumbers w:val="0"/>
              <w:shd w:val="clear"/>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shd w:val="clear"/>
                <w:lang w:val="en-US" w:eastAsia="zh-CN"/>
              </w:rPr>
            </w:pPr>
            <w:r>
              <w:rPr>
                <w:rFonts w:hint="eastAsia" w:ascii="宋体" w:hAnsi="宋体" w:eastAsia="宋体" w:cs="宋体"/>
                <w:color w:val="auto"/>
                <w:sz w:val="21"/>
                <w:szCs w:val="21"/>
                <w:shd w:val="clear"/>
                <w:lang w:val="en-US" w:eastAsia="zh-CN"/>
              </w:rPr>
              <w:t>初中部校区目前建有教学楼 学生宿舍楼2 栋及其水房配套设备设施、办公楼 1 栋、图书馆1栋，教学楼3栋、实验楼楼 1 栋、学生公共厕所1栋、田径场 1 块、翰林亭1幢、桃李亭1个、小卖部1个、电工房一栋、电动车充电棚、校区停车场、各类球场、校区路面和下水道、沟渠、绿化带等公共区域；服务区地面总面积约22000平方米。</w:t>
            </w:r>
          </w:p>
          <w:p w14:paraId="23789F22">
            <w:pPr>
              <w:keepNext w:val="0"/>
              <w:keepLines w:val="0"/>
              <w:pageBreakBefore w:val="0"/>
              <w:widowControl/>
              <w:suppressLineNumbers w:val="0"/>
              <w:kinsoku/>
              <w:wordWrap/>
              <w:overflowPunct/>
              <w:topLinePunct w:val="0"/>
              <w:autoSpaceDE/>
              <w:autoSpaceDN/>
              <w:bidi w:val="0"/>
              <w:adjustRightInd/>
              <w:snapToGrid/>
              <w:spacing w:line="400" w:lineRule="exact"/>
              <w:ind w:firstLine="211" w:firstLineChars="100"/>
              <w:jc w:val="both"/>
              <w:textAlignment w:val="auto"/>
              <w:rPr>
                <w:rFonts w:hint="eastAsia" w:ascii="宋体" w:hAnsi="宋体" w:eastAsia="宋体" w:cs="宋体"/>
                <w:color w:val="auto"/>
                <w:sz w:val="21"/>
                <w:szCs w:val="21"/>
                <w:lang w:eastAsia="zh-CN"/>
              </w:rPr>
            </w:pPr>
            <w:r>
              <w:rPr>
                <w:rFonts w:hint="eastAsia" w:ascii="宋体" w:hAnsi="宋体" w:eastAsia="宋体" w:cs="宋体"/>
                <w:b/>
                <w:bCs/>
                <w:color w:val="auto"/>
                <w:kern w:val="0"/>
                <w:sz w:val="21"/>
                <w:szCs w:val="21"/>
                <w:lang w:val="en-US" w:eastAsia="zh-CN" w:bidi="ar"/>
              </w:rPr>
              <w:t>（三）服务基本内容</w:t>
            </w:r>
          </w:p>
          <w:p w14:paraId="4A1E193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color w:val="auto"/>
                <w:sz w:val="21"/>
                <w:szCs w:val="21"/>
                <w:lang w:eastAsia="zh-CN"/>
              </w:rPr>
              <w:t>本次采购为广西师范大学附属中学初中部校园</w:t>
            </w:r>
            <w:r>
              <w:rPr>
                <w:rFonts w:hint="eastAsia" w:ascii="宋体" w:hAnsi="宋体" w:eastAsia="宋体" w:cs="宋体"/>
                <w:color w:val="auto"/>
                <w:sz w:val="21"/>
                <w:szCs w:val="21"/>
                <w:lang w:val="en-US" w:eastAsia="zh-CN"/>
              </w:rPr>
              <w:t>安保</w:t>
            </w:r>
            <w:r>
              <w:rPr>
                <w:rFonts w:hint="eastAsia" w:ascii="宋体" w:hAnsi="宋体" w:eastAsia="宋体" w:cs="宋体"/>
                <w:color w:val="auto"/>
                <w:sz w:val="21"/>
                <w:szCs w:val="21"/>
                <w:lang w:eastAsia="zh-CN"/>
              </w:rPr>
              <w:t>服务，做好广西师范大学附属中学初中部校园及周边的安全保卫工作</w:t>
            </w:r>
            <w:r>
              <w:rPr>
                <w:rFonts w:hint="eastAsia" w:ascii="宋体" w:hAnsi="宋体" w:eastAsia="宋体" w:cs="宋体"/>
                <w:color w:val="auto"/>
                <w:sz w:val="21"/>
                <w:szCs w:val="21"/>
                <w:lang w:val="en-US" w:eastAsia="zh-CN"/>
              </w:rPr>
              <w:t>(门口秩序、上学和放学出入管理、日常</w:t>
            </w:r>
            <w:r>
              <w:rPr>
                <w:rFonts w:hint="eastAsia" w:ascii="宋体" w:hAnsi="宋体" w:eastAsia="宋体" w:cs="宋体"/>
                <w:i w:val="0"/>
                <w:iCs w:val="0"/>
                <w:caps w:val="0"/>
                <w:color w:val="auto"/>
                <w:spacing w:val="0"/>
                <w:sz w:val="21"/>
                <w:szCs w:val="21"/>
              </w:rPr>
              <w:t>校园出入管理、值班巡查、监控值守、车辆停放、突发事件处理、大型活动秩序等服务</w:t>
            </w:r>
            <w:r>
              <w:rPr>
                <w:rFonts w:hint="eastAsia" w:ascii="宋体" w:hAnsi="宋体" w:eastAsia="宋体" w:cs="宋体"/>
                <w:i w:val="0"/>
                <w:iCs w:val="0"/>
                <w:caps w:val="0"/>
                <w:color w:val="auto"/>
                <w:spacing w:val="0"/>
                <w:sz w:val="21"/>
                <w:szCs w:val="21"/>
                <w:lang w:val="en-US" w:eastAsia="zh-CN"/>
              </w:rPr>
              <w:t>)</w:t>
            </w:r>
            <w:r>
              <w:rPr>
                <w:rFonts w:hint="eastAsia" w:ascii="宋体" w:hAnsi="宋体" w:eastAsia="宋体" w:cs="宋体"/>
                <w:color w:val="auto"/>
                <w:sz w:val="21"/>
                <w:szCs w:val="21"/>
                <w:lang w:eastAsia="zh-CN"/>
              </w:rPr>
              <w:t>，执行 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小时安保工作，遇到校园侵财案件（包括：偷电动车、偷电瓶、扒窃、抢劫等）及打架斗殴等恶行暴力案（事）件，根据现场实际情况进行制止，及时上报，配合抓捕，保护现场、维持秩序，保障校园内的师生及群众人身及其生命财产安全，给学校师生创造一个安全的生活学习工作环境，打造良好的校园治安环境。</w:t>
            </w:r>
          </w:p>
          <w:p w14:paraId="5EA52983">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val="en-US" w:eastAsia="zh-CN" w:bidi="ar"/>
              </w:rPr>
              <w:t xml:space="preserve">二、岗位设置及人员素质要求 </w:t>
            </w:r>
          </w:p>
          <w:p w14:paraId="3506A7C2">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val="en-US" w:eastAsia="zh-CN" w:bidi="ar"/>
              </w:rPr>
              <w:t>（一）岗位设置</w:t>
            </w:r>
          </w:p>
          <w:tbl>
            <w:tblPr>
              <w:tblStyle w:val="4"/>
              <w:tblW w:w="67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250"/>
              <w:gridCol w:w="983"/>
              <w:gridCol w:w="3757"/>
            </w:tblGrid>
            <w:tr w14:paraId="76BBC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vAlign w:val="center"/>
                </w:tcPr>
                <w:p w14:paraId="4A5722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kern w:val="0"/>
                      <w:sz w:val="21"/>
                      <w:szCs w:val="21"/>
                      <w:lang w:val="en-US" w:eastAsia="zh-CN" w:bidi="ar"/>
                    </w:rPr>
                    <w:t>序号</w:t>
                  </w:r>
                </w:p>
              </w:tc>
              <w:tc>
                <w:tcPr>
                  <w:tcW w:w="1250" w:type="dxa"/>
                  <w:vAlign w:val="center"/>
                </w:tcPr>
                <w:p w14:paraId="5942559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项目工</w:t>
                  </w:r>
                </w:p>
                <w:p w14:paraId="039B0F9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kern w:val="0"/>
                      <w:sz w:val="21"/>
                      <w:szCs w:val="21"/>
                      <w:lang w:val="en-US" w:eastAsia="zh-CN" w:bidi="ar"/>
                    </w:rPr>
                    <w:t>作岗位</w:t>
                  </w:r>
                </w:p>
              </w:tc>
              <w:tc>
                <w:tcPr>
                  <w:tcW w:w="983" w:type="dxa"/>
                  <w:vAlign w:val="center"/>
                </w:tcPr>
                <w:p w14:paraId="13775D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岗位</w:t>
                  </w:r>
                </w:p>
                <w:p w14:paraId="787F3D9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kern w:val="0"/>
                      <w:sz w:val="21"/>
                      <w:szCs w:val="21"/>
                      <w:lang w:val="en-US" w:eastAsia="zh-CN" w:bidi="ar"/>
                    </w:rPr>
                    <w:t>人数</w:t>
                  </w:r>
                </w:p>
              </w:tc>
              <w:tc>
                <w:tcPr>
                  <w:tcW w:w="3757" w:type="dxa"/>
                  <w:vAlign w:val="center"/>
                </w:tcPr>
                <w:p w14:paraId="335C2A6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kern w:val="0"/>
                      <w:sz w:val="21"/>
                      <w:szCs w:val="21"/>
                      <w:lang w:val="en-US" w:eastAsia="zh-CN" w:bidi="ar"/>
                    </w:rPr>
                    <w:t>工作时间</w:t>
                  </w:r>
                </w:p>
              </w:tc>
            </w:tr>
            <w:tr w14:paraId="02D6D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vAlign w:val="center"/>
                </w:tcPr>
                <w:p w14:paraId="678289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1</w:t>
                  </w:r>
                </w:p>
              </w:tc>
              <w:tc>
                <w:tcPr>
                  <w:tcW w:w="1250" w:type="dxa"/>
                  <w:vAlign w:val="center"/>
                </w:tcPr>
                <w:p w14:paraId="422819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sz w:val="21"/>
                      <w:szCs w:val="21"/>
                      <w:lang w:eastAsia="zh-CN"/>
                    </w:rPr>
                    <w:t>保安员</w:t>
                  </w:r>
                </w:p>
              </w:tc>
              <w:tc>
                <w:tcPr>
                  <w:tcW w:w="983" w:type="dxa"/>
                  <w:shd w:val="clear" w:color="auto" w:fill="auto"/>
                  <w:vAlign w:val="center"/>
                </w:tcPr>
                <w:p w14:paraId="1F6818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vertAlign w:val="baseline"/>
                      <w:lang w:val="en-US" w:eastAsia="zh-CN" w:bidi="ar-SA"/>
                    </w:rPr>
                  </w:pPr>
                  <w:r>
                    <w:rPr>
                      <w:rFonts w:hint="eastAsia" w:ascii="宋体" w:hAnsi="宋体" w:eastAsia="宋体" w:cs="宋体"/>
                      <w:b w:val="0"/>
                      <w:bCs w:val="0"/>
                      <w:color w:val="auto"/>
                      <w:sz w:val="21"/>
                      <w:szCs w:val="21"/>
                      <w:vertAlign w:val="baseline"/>
                      <w:lang w:val="en-US" w:eastAsia="zh-CN"/>
                    </w:rPr>
                    <w:t>7人</w:t>
                  </w:r>
                </w:p>
              </w:tc>
              <w:tc>
                <w:tcPr>
                  <w:tcW w:w="3757" w:type="dxa"/>
                  <w:vAlign w:val="center"/>
                </w:tcPr>
                <w:p w14:paraId="024DA3E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sz w:val="21"/>
                      <w:szCs w:val="21"/>
                      <w:lang w:eastAsia="zh-CN"/>
                    </w:rPr>
                    <w:t>实行24小时值班制，每日 3 班，每班次工作时间为 8小时，双休日、节假日照常执勤。</w:t>
                  </w:r>
                </w:p>
              </w:tc>
            </w:tr>
            <w:tr w14:paraId="2A400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vAlign w:val="center"/>
                </w:tcPr>
                <w:p w14:paraId="638AC8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2</w:t>
                  </w:r>
                </w:p>
              </w:tc>
              <w:tc>
                <w:tcPr>
                  <w:tcW w:w="1250" w:type="dxa"/>
                  <w:vAlign w:val="center"/>
                </w:tcPr>
                <w:p w14:paraId="5AA7B1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eastAsia="zh-CN"/>
                    </w:rPr>
                    <w:t>合计</w:t>
                  </w:r>
                </w:p>
              </w:tc>
              <w:tc>
                <w:tcPr>
                  <w:tcW w:w="983" w:type="dxa"/>
                  <w:vAlign w:val="center"/>
                </w:tcPr>
                <w:p w14:paraId="45B1A8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val="en-US" w:eastAsia="zh-CN"/>
                    </w:rPr>
                    <w:t>7人</w:t>
                  </w:r>
                </w:p>
              </w:tc>
              <w:tc>
                <w:tcPr>
                  <w:tcW w:w="3757" w:type="dxa"/>
                  <w:vAlign w:val="center"/>
                </w:tcPr>
                <w:p w14:paraId="216DD8E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vertAlign w:val="baseline"/>
                      <w:lang w:eastAsia="zh-CN"/>
                    </w:rPr>
                  </w:pPr>
                </w:p>
              </w:tc>
            </w:tr>
          </w:tbl>
          <w:p w14:paraId="6158AAFC">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（二）保安人员的招聘与录用条件</w:t>
            </w:r>
          </w:p>
          <w:p w14:paraId="04040CE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保安人员的招聘工作由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负责；录用条件为具备国家相关法律法规规定的保安员的任职资格和合法手续。在服务期内，所配备的保安人员均需持证上岗（系指持公安机关或人社部门颁发的《保安员证》），否则视为违约。</w:t>
            </w:r>
          </w:p>
          <w:p w14:paraId="7FD608E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向采购人投入的保安人员要求：必须遵守法纪，无违法记录，接受过正规专业训练且保安人员五官端正，反应灵敏；男性，身体健康，初中以上文化程度，年龄在5</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岁以下；身高1.65 米以上，持有公安机关颁发的《保安员》上岗证，响应文件提供有效的证明文件复印件，否则视为无效投标</w:t>
            </w:r>
          </w:p>
          <w:p w14:paraId="67E1511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具备一定的观察、发现、处置问题能力，具备基本的防卫擒拿技能,具有良好的心理素质,能胜任安保服务要求。品行良好，遵纪守法，无被刑事处罚、劳动教养、收容教育、强制隔离戒毒、行政拘留或者被开除工作、军籍等不良记录；</w:t>
            </w:r>
          </w:p>
          <w:p w14:paraId="12F2D04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派驻的保安员必须经过岗前培训并取得保安员证。</w:t>
            </w:r>
          </w:p>
          <w:p w14:paraId="25652D4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派驻人员需经采购人审核通过后方可到采购人校内进行保安服务。</w:t>
            </w:r>
          </w:p>
          <w:p w14:paraId="5EA6817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负责对派驻保安员的思想教育、劳动纪律和技能培训等日常管理工作。派出人员在采购人工作区域内的失职、违法犯罪和本人责任的安全事故等行为及后果，给采购人造成损失的，由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w:t>
            </w:r>
          </w:p>
          <w:p w14:paraId="02550EC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lang w:eastAsia="zh-CN"/>
              </w:rPr>
              <w:t>负责与派驻保安员签订劳动合同，建立劳动关系，为其办理相关保险以及按时支付服务人员劳动报酬，发放劳保等用品。</w:t>
            </w:r>
          </w:p>
          <w:p w14:paraId="4B9E4BD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lang w:eastAsia="zh-CN"/>
              </w:rPr>
              <w:t>派驻的保安员应穿着制服，佩戴《上岗证》，文明执勤、依法执勤、礼貌待人。</w:t>
            </w:r>
          </w:p>
          <w:p w14:paraId="1FB1E5D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lang w:eastAsia="zh-CN"/>
              </w:rPr>
              <w:t>派驻的保安员应当接受采购人的管理和指挥，完成临时交办的相关工作。</w:t>
            </w:r>
          </w:p>
          <w:p w14:paraId="43E5339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lang w:eastAsia="zh-CN"/>
              </w:rPr>
              <w:t>保安员按照规定，有权坚持原则，履行职责，以维护采购人合法利益。如保安员按照要求在执勤中遇到违规问题的，有权制止，做好记录或通报采购人，采购人应给予支持配合，并积极协助妥善处理。</w:t>
            </w:r>
          </w:p>
          <w:p w14:paraId="603D8A4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11.</w:t>
            </w:r>
            <w:r>
              <w:rPr>
                <w:rFonts w:hint="eastAsia" w:ascii="宋体" w:hAnsi="宋体" w:eastAsia="宋体" w:cs="宋体"/>
                <w:color w:val="auto"/>
                <w:sz w:val="21"/>
                <w:szCs w:val="21"/>
                <w:lang w:eastAsia="zh-CN"/>
              </w:rPr>
              <w:t>采购人的各项规章制度，</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应签收，组织保安人员学习，保安人员上岗前应确保理解到位；所派保安人员有损毁、侵占采购人公私财物行为的，必须无条件恢复原状，清退或赔偿全部损失。</w:t>
            </w:r>
          </w:p>
          <w:p w14:paraId="090EA70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lang w:eastAsia="zh-CN"/>
              </w:rPr>
            </w:pP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lang w:eastAsia="zh-CN"/>
              </w:rPr>
              <w:t>建立服务管理档案并负责及时记载有关变更情况。</w:t>
            </w:r>
          </w:p>
          <w:p w14:paraId="5B89B44A">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三、工作要求</w:t>
            </w:r>
          </w:p>
          <w:p w14:paraId="61615D0C">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（一）服务要求</w:t>
            </w:r>
          </w:p>
          <w:p w14:paraId="723E5F5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树立“服务第一，业主至上”的思想，切实维护学校与师生的人身和财产安全；</w:t>
            </w:r>
          </w:p>
          <w:p w14:paraId="5B7E7E2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管理坚持原则、慎密严谨；服务以人为本、主动热情；处理问题高度警惕、有理有节；</w:t>
            </w:r>
          </w:p>
          <w:p w14:paraId="04AB4DB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上岗人员仪表整洁，业务操作规范，礼貌待人，保持岗位卫生整洁；</w:t>
            </w:r>
          </w:p>
          <w:p w14:paraId="5538216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依法办事，文明执勤，不与师生发生争吵，杜绝保安与师生发生冲突，禁止保安出手伤及师生人生安全；</w:t>
            </w:r>
          </w:p>
          <w:p w14:paraId="0C3ED3E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师生有求必应，有险情必出。</w:t>
            </w:r>
          </w:p>
          <w:p w14:paraId="08EDA5B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依法办事，文明值勤，严格管理，保障学校财产和师生人身不受侵害，维护正常的教育教学、生活秩序。</w:t>
            </w:r>
          </w:p>
          <w:p w14:paraId="7C0D161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7.成交供应商应认真理解学校保安服务的教育属性，接受采购人考核，熟悉校园管理的特点，根据学校的工作要求，提供切实可行的校园保安服务，完善专项管理制度</w:t>
            </w:r>
            <w:r>
              <w:rPr>
                <w:rFonts w:hint="eastAsia" w:ascii="宋体" w:hAnsi="宋体" w:eastAsia="宋体" w:cs="宋体"/>
                <w:color w:val="auto"/>
                <w:sz w:val="21"/>
                <w:szCs w:val="21"/>
                <w:lang w:eastAsia="zh-CN"/>
              </w:rPr>
              <w:t>。</w:t>
            </w:r>
          </w:p>
          <w:p w14:paraId="292377D4">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（二）队伍建设与管理要求</w:t>
            </w:r>
          </w:p>
          <w:p w14:paraId="3A4065A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1.成交供应商</w:t>
            </w:r>
            <w:r>
              <w:rPr>
                <w:rFonts w:hint="eastAsia" w:ascii="宋体" w:hAnsi="宋体" w:eastAsia="宋体" w:cs="宋体"/>
                <w:color w:val="auto"/>
                <w:sz w:val="21"/>
                <w:szCs w:val="21"/>
                <w:lang w:eastAsia="zh-CN"/>
              </w:rPr>
              <w:t>负责提供进驻保安人员值勤所需的服装、装备、器材、通讯设备、常用办公耗材等。</w:t>
            </w:r>
          </w:p>
          <w:p w14:paraId="20F90B7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保安人员（包括管理人员）上岗必须统一着装（着保安服，系武装带，配警棍、对讲机，夜间配手 电筒），坚守岗位，履行职责，文明执勤。</w:t>
            </w:r>
          </w:p>
          <w:p w14:paraId="30EA554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从学校安全实际出发，经常性开展在岗人员业务培训和紧急预案演练。</w:t>
            </w:r>
          </w:p>
          <w:p w14:paraId="0B76F5D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内部管理体制健全，保证日常保安队伍的规范化管理。保安人员要遵守并严格执行采购人制定的有关规章制度，接受采购人的统一管理，维护采购人的利益；</w:t>
            </w:r>
          </w:p>
          <w:p w14:paraId="5F0506C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5.成交供应商</w:t>
            </w:r>
            <w:r>
              <w:rPr>
                <w:rFonts w:hint="eastAsia" w:ascii="宋体" w:hAnsi="宋体" w:eastAsia="宋体" w:cs="宋体"/>
                <w:color w:val="auto"/>
                <w:sz w:val="21"/>
                <w:szCs w:val="21"/>
                <w:lang w:eastAsia="zh-CN"/>
              </w:rPr>
              <w:t>必须采取切实有效措施保持保安队伍的稳定；保安队伍管理人员更换，应提前一个月以书面形式通知采购人，其他队员更换要提前三天告知采购人，确保服务质量不因人员变动而受影响；</w:t>
            </w:r>
          </w:p>
          <w:p w14:paraId="062359B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采购人有权随时对保安人员工作情况进行服务职责检查，有权对不达服务要求的安保人员提出处罚、调换或辞退要求，</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应在接到采购人相关通知后三天内予以相应处理；如保安人员违反采购人采购需求中服务要求规定的，</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必须接受采购人根据双方认可的管理与考核制度进行的经济处罚。</w:t>
            </w:r>
          </w:p>
          <w:p w14:paraId="3F8C094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lang w:eastAsia="zh-CN"/>
              </w:rPr>
              <w:t>保安应聘、录用、离职等管理档案规范，手续齐全，相应资料必须报采购人备案；</w:t>
            </w:r>
          </w:p>
          <w:p w14:paraId="034972B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lang w:eastAsia="zh-CN"/>
              </w:rPr>
              <w:t>要加强对保安业务的管理，确保保安在校园内无违规事件发生。</w:t>
            </w:r>
          </w:p>
          <w:p w14:paraId="0EE191E2">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（三）保安员应具备的职责及突发事件处置基本技能</w:t>
            </w:r>
          </w:p>
          <w:p w14:paraId="407C7E5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遵守采购人单位的各项规章制度，不迟到、不早退、不脱岗、不睡岗、不酒后上岗，不做与工作无关的事，听从指挥，服从调度。</w:t>
            </w:r>
          </w:p>
          <w:p w14:paraId="1B99CA4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上岗执勤时，应着装整齐、配带好防护器材，保持高度警戒。</w:t>
            </w:r>
          </w:p>
          <w:p w14:paraId="408AB38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当发现校内有争吵、大声喧哗的人员时，应立即上前委婉劝说及制止。</w:t>
            </w:r>
          </w:p>
          <w:p w14:paraId="56DAA1E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当发现有人恶意敲击或损坏校内的物品时，应立即上前阻止。</w:t>
            </w:r>
          </w:p>
          <w:p w14:paraId="3254379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当校内出现打架、斗殴事件时，应积极果断进行劝阻，防止事态进一步扩大。同时,立即报告管理人员,视情况报“110”处理。</w:t>
            </w:r>
          </w:p>
          <w:p w14:paraId="162D094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校内如果发生紧急事故时，地震、火灾、水灾等，有秩序地进行疏散，防止事态扩大，立即报告管 理人员和拨打“110”报警；有人受伤时，应立即拨打“120”急救电话救援。火灾应同时拨打“119”火警电话报警。</w:t>
            </w:r>
          </w:p>
          <w:p w14:paraId="7F6D883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lang w:eastAsia="zh-CN"/>
              </w:rPr>
              <w:t>当在校内发现偷窃、扒窃作案嫌疑人时，应立即予以制止，能现场抓获犯罪嫌疑人的应予控制，并移交公安机关处理，不能抓获控制的，应记住嫌疑人的主要特征和逃跑方向，立即报警。</w:t>
            </w:r>
          </w:p>
          <w:p w14:paraId="70F33E7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lang w:eastAsia="zh-CN"/>
              </w:rPr>
              <w:t xml:space="preserve">当校内发生抢劫作案时，应立即使用防护器械予以制止，并抓获控制抢劫嫌疑人；如抢劫作案嫌疑人为多人团伙作案或持有凶器作案，应在保证自身安全的前提下，记住犯罪嫌疑人的主要体貌特征和所持凶器、逃跑方向，迅速报警；有人受伤时，应立即拔打“120”急救。 </w:t>
            </w:r>
          </w:p>
          <w:p w14:paraId="305AE01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lang w:eastAsia="zh-CN"/>
              </w:rPr>
              <w:t>各类突发事件及处置情况及时向管理人员汇报。</w:t>
            </w:r>
          </w:p>
          <w:p w14:paraId="6A65C7C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10.熟悉消防设施设备功能及使用。</w:t>
            </w:r>
          </w:p>
          <w:p w14:paraId="027539A9">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（四）承担风险</w:t>
            </w:r>
          </w:p>
          <w:p w14:paraId="6E4465D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采购人将对保安服务质量进行全过程监控，</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日常工作不到位、不达标、或有违约现象，将依据合同约定，作出相应的违约处理与处罚。</w:t>
            </w:r>
          </w:p>
          <w:p w14:paraId="49AFB5A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保安人员在岗履行工作职责期间，发生自身的人身伤害、伤亡，均由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负责处理并承担经济和道义上的责任，采购人不承担任何责任。</w:t>
            </w:r>
          </w:p>
          <w:p w14:paraId="67632FF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3.成交供应商</w:t>
            </w:r>
            <w:r>
              <w:rPr>
                <w:rFonts w:hint="eastAsia" w:ascii="宋体" w:hAnsi="宋体" w:eastAsia="宋体" w:cs="宋体"/>
                <w:color w:val="auto"/>
                <w:sz w:val="21"/>
                <w:szCs w:val="21"/>
                <w:lang w:eastAsia="zh-CN"/>
              </w:rPr>
              <w:t>违反国家相关法规，与聘用人员发生纠纷，均由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负责调解与处理，采购人不承担责任。</w:t>
            </w:r>
          </w:p>
          <w:p w14:paraId="4C7A4AC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4.成交供应商</w:t>
            </w:r>
            <w:r>
              <w:rPr>
                <w:rFonts w:hint="eastAsia" w:ascii="宋体" w:hAnsi="宋体" w:eastAsia="宋体" w:cs="宋体"/>
                <w:color w:val="auto"/>
                <w:sz w:val="21"/>
                <w:szCs w:val="21"/>
                <w:lang w:eastAsia="zh-CN"/>
              </w:rPr>
              <w:t>在保安服务中违反国家相关法规或保安行业规范，因过失造成他人人身伤亡的，均由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负责处理并承担经济和道义上的责任，采购人不承担任何责任。</w:t>
            </w:r>
          </w:p>
          <w:p w14:paraId="24B95B66">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（五）其它</w:t>
            </w:r>
          </w:p>
          <w:p w14:paraId="0AD3F3E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日常保安的具体排班和人员岗位调动，应根据学校实际情况提出的要求临时调整</w:t>
            </w:r>
          </w:p>
          <w:p w14:paraId="18DDC5A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val="en-US" w:eastAsia="zh-CN"/>
              </w:rPr>
            </w:pPr>
          </w:p>
        </w:tc>
        <w:tc>
          <w:tcPr>
            <w:tcW w:w="854" w:type="dxa"/>
            <w:vAlign w:val="center"/>
          </w:tcPr>
          <w:p w14:paraId="54DE58F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1项</w:t>
            </w:r>
          </w:p>
        </w:tc>
      </w:tr>
      <w:tr w14:paraId="06388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864" w:type="dxa"/>
            <w:gridSpan w:val="4"/>
            <w:shd w:val="clear" w:color="auto" w:fill="B5C7EA" w:themeFill="accent1" w:themeFillTint="66"/>
            <w:vAlign w:val="center"/>
          </w:tcPr>
          <w:p w14:paraId="65F39D31">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★二、商务要求</w:t>
            </w:r>
          </w:p>
        </w:tc>
      </w:tr>
      <w:tr w14:paraId="10A3E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14:paraId="5C48DE70">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bookmarkStart w:id="0" w:name="_GoBack" w:colFirst="2" w:colLast="3"/>
            <w:r>
              <w:rPr>
                <w:rFonts w:hint="eastAsia" w:ascii="宋体" w:hAnsi="宋体" w:eastAsia="宋体" w:cs="宋体"/>
                <w:color w:val="auto"/>
                <w:kern w:val="0"/>
                <w:sz w:val="21"/>
                <w:szCs w:val="21"/>
                <w:lang w:val="en-US" w:eastAsia="zh-CN" w:bidi="ar"/>
              </w:rPr>
              <w:t>报价要求</w:t>
            </w:r>
          </w:p>
        </w:tc>
        <w:tc>
          <w:tcPr>
            <w:tcW w:w="7793" w:type="dxa"/>
            <w:gridSpan w:val="2"/>
            <w:vAlign w:val="center"/>
          </w:tcPr>
          <w:p w14:paraId="7B63D044">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1"/>
                <w:szCs w:val="21"/>
                <w:highlight w:val="none"/>
                <w:lang w:eastAsia="zh-CN"/>
              </w:rPr>
              <w:t>本项目采购预算金额为人民币：</w:t>
            </w:r>
            <w:r>
              <w:rPr>
                <w:rFonts w:hint="eastAsia" w:ascii="宋体" w:hAnsi="宋体" w:eastAsia="宋体" w:cs="宋体"/>
                <w:b/>
                <w:bCs/>
                <w:color w:val="auto"/>
                <w:sz w:val="21"/>
                <w:szCs w:val="21"/>
                <w:highlight w:val="none"/>
                <w:u w:val="single"/>
                <w:lang w:val="en-US" w:eastAsia="zh-CN"/>
              </w:rPr>
              <w:t>235200</w:t>
            </w:r>
            <w:r>
              <w:rPr>
                <w:rFonts w:hint="eastAsia" w:ascii="宋体" w:hAnsi="宋体" w:eastAsia="宋体" w:cs="宋体"/>
                <w:b/>
                <w:bCs/>
                <w:color w:val="auto"/>
                <w:sz w:val="21"/>
                <w:szCs w:val="21"/>
                <w:highlight w:val="none"/>
                <w:lang w:val="en-US" w:eastAsia="zh-CN"/>
              </w:rPr>
              <w:t>元，</w:t>
            </w:r>
            <w:r>
              <w:rPr>
                <w:rFonts w:hint="eastAsia" w:ascii="宋体" w:hAnsi="宋体" w:eastAsia="宋体" w:cs="宋体"/>
                <w:b/>
                <w:bCs/>
                <w:color w:val="auto"/>
                <w:sz w:val="21"/>
                <w:szCs w:val="21"/>
                <w:highlight w:val="none"/>
                <w:lang w:eastAsia="zh-CN"/>
              </w:rPr>
              <w:t>超出采购预算金额的投标报价将被视为无效投标处理</w:t>
            </w:r>
          </w:p>
        </w:tc>
      </w:tr>
      <w:tr w14:paraId="28CDE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14:paraId="521764C8">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服务期限</w:t>
            </w:r>
          </w:p>
        </w:tc>
        <w:tc>
          <w:tcPr>
            <w:tcW w:w="7793" w:type="dxa"/>
            <w:gridSpan w:val="2"/>
            <w:vAlign w:val="center"/>
          </w:tcPr>
          <w:p w14:paraId="545551B4">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zh-CN"/>
              </w:rPr>
              <w:t>自签订合同之日起1年</w:t>
            </w:r>
          </w:p>
        </w:tc>
      </w:tr>
      <w:tr w14:paraId="64CB0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14:paraId="688D61E5">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处理问题响应时间</w:t>
            </w:r>
          </w:p>
        </w:tc>
        <w:tc>
          <w:tcPr>
            <w:tcW w:w="7793" w:type="dxa"/>
            <w:gridSpan w:val="2"/>
            <w:vAlign w:val="center"/>
          </w:tcPr>
          <w:p w14:paraId="4122C6F1">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接到采购人通知后 10 分钟内到达采购人指定现场。</w:t>
            </w:r>
          </w:p>
        </w:tc>
      </w:tr>
      <w:tr w14:paraId="641E4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14:paraId="59987439">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服务交接时间及地点</w:t>
            </w:r>
          </w:p>
        </w:tc>
        <w:tc>
          <w:tcPr>
            <w:tcW w:w="7793" w:type="dxa"/>
            <w:gridSpan w:val="2"/>
            <w:vAlign w:val="center"/>
          </w:tcPr>
          <w:p w14:paraId="3F738D78">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1.服务交接时间：自合同约定提供服务之日起 3 日内办理完服务交接手续； </w:t>
            </w:r>
          </w:p>
          <w:p w14:paraId="51DEB832">
            <w:pPr>
              <w:keepNext w:val="0"/>
              <w:keepLines w:val="0"/>
              <w:pageBreakBefore w:val="0"/>
              <w:widowControl/>
              <w:suppressLineNumbers w:val="0"/>
              <w:shd w:val="clear"/>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2.服务地点：</w:t>
            </w:r>
            <w:r>
              <w:rPr>
                <w:rFonts w:hint="eastAsia" w:ascii="宋体" w:hAnsi="宋体" w:eastAsia="宋体" w:cs="宋体"/>
                <w:color w:val="auto"/>
                <w:sz w:val="21"/>
                <w:szCs w:val="21"/>
                <w:shd w:val="clear"/>
                <w:lang w:eastAsia="zh-CN"/>
              </w:rPr>
              <w:t>广西师范大学附属中学初中部（</w:t>
            </w:r>
            <w:r>
              <w:rPr>
                <w:rFonts w:hint="eastAsia" w:ascii="宋体" w:hAnsi="宋体" w:eastAsia="宋体" w:cs="宋体"/>
                <w:i w:val="0"/>
                <w:iCs w:val="0"/>
                <w:caps w:val="0"/>
                <w:color w:val="auto"/>
                <w:spacing w:val="0"/>
                <w:sz w:val="21"/>
                <w:szCs w:val="21"/>
                <w:shd w:val="clear"/>
              </w:rPr>
              <w:t>桂林市</w:t>
            </w:r>
            <w:r>
              <w:rPr>
                <w:rFonts w:hint="eastAsia" w:ascii="宋体" w:hAnsi="宋体" w:eastAsia="宋体" w:cs="宋体"/>
                <w:i w:val="0"/>
                <w:iCs w:val="0"/>
                <w:caps w:val="0"/>
                <w:color w:val="auto"/>
                <w:spacing w:val="0"/>
                <w:sz w:val="21"/>
                <w:szCs w:val="21"/>
                <w:shd w:val="clear"/>
                <w:lang w:eastAsia="zh-CN"/>
              </w:rPr>
              <w:t>中山北路</w:t>
            </w:r>
            <w:r>
              <w:rPr>
                <w:rFonts w:hint="eastAsia" w:ascii="宋体" w:hAnsi="宋体" w:eastAsia="宋体" w:cs="宋体"/>
                <w:i w:val="0"/>
                <w:iCs w:val="0"/>
                <w:caps w:val="0"/>
                <w:color w:val="auto"/>
                <w:spacing w:val="0"/>
                <w:sz w:val="21"/>
                <w:szCs w:val="21"/>
                <w:shd w:val="clear"/>
                <w:lang w:val="en-US" w:eastAsia="zh-CN"/>
              </w:rPr>
              <w:t>15</w:t>
            </w:r>
            <w:r>
              <w:rPr>
                <w:rFonts w:hint="eastAsia" w:ascii="宋体" w:hAnsi="宋体" w:eastAsia="宋体" w:cs="宋体"/>
                <w:i w:val="0"/>
                <w:iCs w:val="0"/>
                <w:caps w:val="0"/>
                <w:color w:val="auto"/>
                <w:spacing w:val="0"/>
                <w:sz w:val="21"/>
                <w:szCs w:val="21"/>
                <w:shd w:val="clear"/>
              </w:rPr>
              <w:t>号</w:t>
            </w:r>
            <w:r>
              <w:rPr>
                <w:rFonts w:hint="eastAsia" w:ascii="宋体" w:hAnsi="宋体" w:eastAsia="宋体" w:cs="宋体"/>
                <w:color w:val="auto"/>
                <w:sz w:val="21"/>
                <w:szCs w:val="21"/>
                <w:shd w:val="clear"/>
                <w:lang w:eastAsia="zh-CN"/>
              </w:rPr>
              <w:t>）</w:t>
            </w:r>
          </w:p>
        </w:tc>
      </w:tr>
      <w:tr w14:paraId="15AF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14:paraId="0277F748">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付款方式</w:t>
            </w:r>
          </w:p>
        </w:tc>
        <w:tc>
          <w:tcPr>
            <w:tcW w:w="7793" w:type="dxa"/>
            <w:gridSpan w:val="2"/>
            <w:vAlign w:val="center"/>
          </w:tcPr>
          <w:p w14:paraId="4AD929E9">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zh-CN"/>
              </w:rPr>
              <w:t>服务费实行按月支付，每月所支付的服务费均相等,按照成交价格计算出每个月的费用。在每月15 日前采购人以转账方式支付上一个月的服务费，转账前成交供应商将相应的足额服务费发票交给采购人；否则，采购人有权拒绝付费且不承担任何责任；本合同采购方的采购资金系财政拨款，财政拨款迟延，付款时间顺延且采购方不承担逾期付款的违约责任。</w:t>
            </w:r>
          </w:p>
        </w:tc>
      </w:tr>
      <w:tr w14:paraId="274B0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9864" w:type="dxa"/>
            <w:gridSpan w:val="4"/>
            <w:shd w:val="clear" w:color="auto" w:fill="B5C7EA" w:themeFill="accent1" w:themeFillTint="66"/>
            <w:vAlign w:val="center"/>
          </w:tcPr>
          <w:p w14:paraId="06146A83">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★三、验收要求</w:t>
            </w:r>
          </w:p>
        </w:tc>
      </w:tr>
      <w:tr w14:paraId="135B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14:paraId="3D2C8F1C">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验收标准及要求</w:t>
            </w:r>
          </w:p>
        </w:tc>
        <w:tc>
          <w:tcPr>
            <w:tcW w:w="7793" w:type="dxa"/>
            <w:gridSpan w:val="2"/>
            <w:vAlign w:val="center"/>
          </w:tcPr>
          <w:p w14:paraId="0B4AE6BE">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1.国家强制性标准及有关规定。 </w:t>
            </w:r>
          </w:p>
          <w:p w14:paraId="00790A4E">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2.招标文件的采购需求及中标人投标文件响应的事项。</w:t>
            </w:r>
          </w:p>
        </w:tc>
      </w:tr>
      <w:tr w14:paraId="54AB5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864" w:type="dxa"/>
            <w:gridSpan w:val="4"/>
            <w:shd w:val="clear" w:color="auto" w:fill="B5C7EA" w:themeFill="accent1" w:themeFillTint="66"/>
            <w:vAlign w:val="center"/>
          </w:tcPr>
          <w:p w14:paraId="0A02DC11">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四、资信要求</w:t>
            </w:r>
          </w:p>
        </w:tc>
      </w:tr>
      <w:tr w14:paraId="322C8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14:paraId="75ABA734">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w:t>
            </w: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供应商的资格要求</w:t>
            </w:r>
          </w:p>
          <w:p w14:paraId="3649A33E">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vertAlign w:val="baseline"/>
                <w:lang w:val="en-US" w:eastAsia="zh-CN"/>
                <w14:textFill>
                  <w14:solidFill>
                    <w14:schemeClr w14:val="tx1"/>
                  </w14:solidFill>
                </w14:textFill>
              </w:rPr>
            </w:pPr>
          </w:p>
        </w:tc>
        <w:tc>
          <w:tcPr>
            <w:tcW w:w="7793" w:type="dxa"/>
            <w:gridSpan w:val="2"/>
            <w:vAlign w:val="center"/>
          </w:tcPr>
          <w:p w14:paraId="1A160A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20" w:firstLineChars="200"/>
              <w:jc w:val="both"/>
              <w:textAlignment w:val="auto"/>
              <w:rPr>
                <w:rFonts w:hint="eastAsia" w:ascii="宋体" w:hAnsi="宋体" w:eastAsia="宋体" w:cs="宋体"/>
                <w:b w:val="0"/>
                <w:bCs w:val="0"/>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具有独立承担民事责任能力的法人或其他组织，具有良好的商业信誉和健全的财务会计制度（提供会计师事务所出具的202</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14:textFill>
                  <w14:solidFill>
                    <w14:schemeClr w14:val="tx1"/>
                  </w14:solidFill>
                </w14:textFill>
              </w:rPr>
              <w:t>年度完整的财务报告或银行资信证明）；有依法缴纳税收和社会保障资金的良好记录（提供202</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6</w:t>
            </w:r>
            <w:r>
              <w:rPr>
                <w:rFonts w:hint="eastAsia" w:ascii="宋体" w:hAnsi="宋体" w:eastAsia="宋体" w:cs="宋体"/>
                <w:b w:val="0"/>
                <w:bCs w:val="0"/>
                <w:color w:val="000000" w:themeColor="text1"/>
                <w:sz w:val="21"/>
                <w:szCs w:val="21"/>
                <w:highlight w:val="none"/>
                <w14:textFill>
                  <w14:solidFill>
                    <w14:schemeClr w14:val="tx1"/>
                  </w14:solidFill>
                </w14:textFill>
              </w:rPr>
              <w:t>年1月1日以来至少一个月的纳税证明和社保缴纳证明，依法免税或不需要缴纳社保的，须出具有效的证明文件）。</w:t>
            </w:r>
          </w:p>
          <w:p w14:paraId="11E4F98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bidi="ar"/>
                <w14:textFill>
                  <w14:solidFill>
                    <w14:schemeClr w14:val="tx1"/>
                  </w14:solidFill>
                </w14:textFill>
              </w:rPr>
              <w:t xml:space="preserve">2.满足《中华人民共和国政府采购法》第二十二条规定； </w:t>
            </w:r>
          </w:p>
          <w:p w14:paraId="541DD67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bidi="ar"/>
                <w14:textFill>
                  <w14:solidFill>
                    <w14:schemeClr w14:val="tx1"/>
                  </w14:solidFill>
                </w14:textFill>
              </w:rPr>
              <w:t xml:space="preserve">3.落实政府采购政策需满足的资格要求：本项目专门面向中小微企业，所属行业为其他未列明行业。 </w:t>
            </w:r>
          </w:p>
          <w:p w14:paraId="4D7C3002">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bidi="ar"/>
                <w14:textFill>
                  <w14:solidFill>
                    <w14:schemeClr w14:val="tx1"/>
                  </w14:solidFill>
                </w14:textFill>
              </w:rPr>
              <w:t>4.本项目的特定资格要求：具备公安部门颁发有效的《保安服务许可证》（省、自治区、 直辖市人民政府或公安部门将相应行政审批事项下放的，按规定执行）。</w:t>
            </w:r>
          </w:p>
          <w:p w14:paraId="2807B5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20" w:firstLineChars="200"/>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5</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提供未被“信用中国（www.creditchina.gov.cn）”列入“重大税收违法失信主体”、未被“中国执行信息公开网（zxgk.court.gov.cn）”列入“失信被执行人”，并提供查询网页截图。</w:t>
            </w:r>
          </w:p>
          <w:p w14:paraId="4C5487FD">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Style w:val="6"/>
                <w:rFonts w:hint="eastAsia" w:ascii="宋体" w:hAnsi="宋体" w:eastAsia="宋体" w:cs="宋体"/>
                <w:b w:val="0"/>
                <w:bCs w:val="0"/>
                <w:color w:val="000000" w:themeColor="text1"/>
                <w:kern w:val="0"/>
                <w:sz w:val="21"/>
                <w:szCs w:val="21"/>
                <w:highlight w:val="none"/>
                <w:lang w:val="en-US" w:eastAsia="zh-CN" w:bidi="ar"/>
                <w14:textFill>
                  <w14:solidFill>
                    <w14:schemeClr w14:val="tx1"/>
                  </w14:solidFill>
                </w14:textFill>
              </w:rPr>
            </w:pPr>
            <w:r>
              <w:rPr>
                <w:rStyle w:val="6"/>
                <w:rFonts w:hint="eastAsia" w:ascii="宋体" w:hAnsi="宋体" w:eastAsia="宋体" w:cs="宋体"/>
                <w:b w:val="0"/>
                <w:bCs w:val="0"/>
                <w:color w:val="000000" w:themeColor="text1"/>
                <w:kern w:val="0"/>
                <w:sz w:val="21"/>
                <w:szCs w:val="21"/>
                <w:highlight w:val="none"/>
                <w:lang w:val="en-US" w:eastAsia="zh-CN" w:bidi="ar"/>
                <w14:textFill>
                  <w14:solidFill>
                    <w14:schemeClr w14:val="tx1"/>
                  </w14:solidFill>
                </w14:textFill>
              </w:rPr>
              <w:t>6.</w:t>
            </w:r>
            <w:r>
              <w:rPr>
                <w:rFonts w:hint="eastAsia" w:ascii="宋体" w:hAnsi="宋体" w:eastAsia="宋体" w:cs="宋体"/>
                <w:b w:val="0"/>
                <w:bCs w:val="0"/>
                <w:color w:val="000000" w:themeColor="text1"/>
                <w:sz w:val="21"/>
                <w:szCs w:val="21"/>
                <w:highlight w:val="none"/>
                <w14:textFill>
                  <w14:solidFill>
                    <w14:schemeClr w14:val="tx1"/>
                  </w14:solidFill>
                </w14:textFill>
              </w:rPr>
              <w:t>提供</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供应商通过</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ISO9001</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质量管理体系认证、</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ISO14001</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环境管理体系认证、</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ISO45001</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职业健康管理体系认证</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（响应</w:t>
            </w:r>
            <w:r>
              <w:rPr>
                <w:rFonts w:hint="eastAsia" w:ascii="宋体" w:hAnsi="宋体" w:eastAsia="宋体" w:cs="宋体"/>
                <w:b w:val="0"/>
                <w:bCs w:val="0"/>
                <w:color w:val="000000" w:themeColor="text1"/>
                <w:sz w:val="21"/>
                <w:szCs w:val="21"/>
                <w:highlight w:val="none"/>
                <w14:textFill>
                  <w14:solidFill>
                    <w14:schemeClr w14:val="tx1"/>
                  </w14:solidFill>
                </w14:textFill>
              </w:rPr>
              <w:t>文件中提供相关有效证书复印件以及国家认监委网站相关内容查询截图</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p>
          <w:p w14:paraId="564B12B7">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themeColor="text1"/>
                <w:sz w:val="21"/>
                <w:szCs w:val="21"/>
                <w:highlight w:val="none"/>
                <w:vertAlign w:val="baseline"/>
                <w:lang w:val="en-US" w:eastAsia="zh-CN"/>
                <w14:textFill>
                  <w14:solidFill>
                    <w14:schemeClr w14:val="tx1"/>
                  </w14:solidFill>
                </w14:textFill>
              </w:rPr>
            </w:pPr>
          </w:p>
        </w:tc>
      </w:tr>
      <w:bookmarkEnd w:id="0"/>
    </w:tbl>
    <w:p w14:paraId="225FCAC4"/>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F"/>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B0ABDB"/>
    <w:multiLevelType w:val="singleLevel"/>
    <w:tmpl w:val="2EB0ABD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1E25E6"/>
    <w:rsid w:val="04DA0CB8"/>
    <w:rsid w:val="078D0C0F"/>
    <w:rsid w:val="19DF7540"/>
    <w:rsid w:val="1E112DA4"/>
    <w:rsid w:val="251D0FB2"/>
    <w:rsid w:val="31CC539F"/>
    <w:rsid w:val="361D4F85"/>
    <w:rsid w:val="42A52918"/>
    <w:rsid w:val="436D32C3"/>
    <w:rsid w:val="531E25E6"/>
    <w:rsid w:val="62A66E5C"/>
    <w:rsid w:val="7D8239C4"/>
    <w:rsid w:val="7F653648"/>
    <w:rsid w:val="7FA45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paragraph" w:customStyle="1" w:styleId="7">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3894</Words>
  <Characters>4041</Characters>
  <Lines>0</Lines>
  <Paragraphs>0</Paragraphs>
  <TotalTime>22</TotalTime>
  <ScaleCrop>false</ScaleCrop>
  <LinksUpToDate>false</LinksUpToDate>
  <CharactersWithSpaces>4069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2024-12-04T02:10:00Z</dcterms:created>
  <dc:creator>静雨</dc:creator>
  <cp:lastModifiedBy>张弛</cp:lastModifiedBy>
  <dcterms:modified xsi:type="dcterms:W3CDTF">2026-06-03T06:48:00Z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8A272A9213CD47399C3695EDF0C06866_11</vt:lpwstr>
  </property>
  <property fmtid="{D5CDD505-2E9C-101B-9397-08002B2CF9AE}" pid="4" name="KSOTemplateDocerSaveRecord">
    <vt:lpwstr>eyJoZGlkIjoiZjk4NzY5NjcyNzk1OTM3ZWYzZmVhNzE5NWQ3ZTdmY2IiLCJ1c2VySWQiOiIyMDkyNDk5ODUifQ==</vt:lpwstr>
  </property>
</Properties>
</file>