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7B97F">
      <w:pPr>
        <w:rPr>
          <w:rFonts w:hint="eastAsia" w:ascii="仿宋_GB2312" w:eastAsia="仿宋_GB2312" w:cs="ArialUnicodeMS"/>
          <w:kern w:val="0"/>
          <w:sz w:val="32"/>
          <w:szCs w:val="32"/>
          <w:lang w:val="en-US" w:eastAsia="zh-CN"/>
        </w:rPr>
      </w:pPr>
    </w:p>
    <w:p w14:paraId="273F7300">
      <w:pPr>
        <w:rPr>
          <w:rFonts w:hint="eastAsia" w:ascii="黑体" w:eastAsia="黑体" w:cs="ArialUnicodeMS"/>
          <w:kern w:val="0"/>
          <w:sz w:val="72"/>
          <w:szCs w:val="72"/>
        </w:rPr>
      </w:pPr>
    </w:p>
    <w:p w14:paraId="76D79485">
      <w:pPr>
        <w:rPr>
          <w:rFonts w:hint="eastAsia" w:ascii="黑体" w:eastAsia="黑体" w:cs="ArialUnicodeMS"/>
          <w:kern w:val="0"/>
          <w:sz w:val="72"/>
          <w:szCs w:val="72"/>
        </w:rPr>
      </w:pPr>
    </w:p>
    <w:p w14:paraId="5EEEAB71">
      <w:pPr>
        <w:jc w:val="center"/>
        <w:rPr>
          <w:rFonts w:hint="eastAsia" w:ascii="方正小标宋简体" w:hAnsi="黑体" w:eastAsia="方正小标宋简体"/>
          <w:bCs/>
          <w:color w:val="000000"/>
          <w:sz w:val="52"/>
          <w:szCs w:val="52"/>
          <w:lang w:eastAsia="zh-CN"/>
        </w:rPr>
      </w:pPr>
      <w:r>
        <w:rPr>
          <w:rFonts w:hint="eastAsia" w:ascii="方正小标宋简体" w:eastAsia="方正小标宋简体" w:cs="ArialUnicodeMS"/>
          <w:kern w:val="0"/>
          <w:sz w:val="52"/>
          <w:szCs w:val="52"/>
        </w:rPr>
        <w:t>广西</w:t>
      </w:r>
      <w:r>
        <w:rPr>
          <w:rFonts w:hint="eastAsia" w:ascii="方正小标宋简体" w:eastAsia="方正小标宋简体" w:cs="ArialUnicodeMS"/>
          <w:kern w:val="0"/>
          <w:sz w:val="52"/>
          <w:szCs w:val="52"/>
          <w:lang w:val="en-US" w:eastAsia="zh-CN"/>
        </w:rPr>
        <w:t>师范大学附属中学</w:t>
      </w:r>
    </w:p>
    <w:p w14:paraId="5DE4D056">
      <w:pPr>
        <w:jc w:val="center"/>
        <w:rPr>
          <w:rFonts w:hint="eastAsia" w:ascii="方正小标宋简体" w:eastAsia="方正小标宋简体" w:cs="ArialUnicodeMS"/>
          <w:kern w:val="0"/>
          <w:sz w:val="52"/>
          <w:szCs w:val="52"/>
        </w:rPr>
      </w:pPr>
      <w:r>
        <w:rPr>
          <w:rFonts w:hint="eastAsia" w:ascii="方正小标宋简体" w:eastAsia="方正小标宋简体"/>
          <w:kern w:val="0"/>
          <w:sz w:val="52"/>
          <w:szCs w:val="52"/>
          <w:lang w:eastAsia="zh-CN"/>
        </w:rPr>
        <w:t>202</w:t>
      </w:r>
      <w:r>
        <w:rPr>
          <w:rFonts w:hint="eastAsia" w:ascii="方正小标宋简体" w:eastAsia="方正小标宋简体"/>
          <w:kern w:val="0"/>
          <w:sz w:val="52"/>
          <w:szCs w:val="52"/>
          <w:lang w:val="en-US" w:eastAsia="zh-CN"/>
        </w:rPr>
        <w:t>5</w:t>
      </w:r>
      <w:r>
        <w:rPr>
          <w:rFonts w:hint="eastAsia" w:ascii="方正小标宋简体" w:eastAsia="方正小标宋简体" w:cs="ArialUnicodeMS"/>
          <w:kern w:val="0"/>
          <w:sz w:val="52"/>
          <w:szCs w:val="52"/>
        </w:rPr>
        <w:t>年度部门决算</w:t>
      </w:r>
    </w:p>
    <w:p w14:paraId="7611B190">
      <w:pPr>
        <w:rPr>
          <w:rFonts w:hint="eastAsia" w:ascii="方正小标宋简体" w:eastAsia="方正小标宋简体" w:cs="ArialUnicodeMS"/>
          <w:kern w:val="0"/>
          <w:sz w:val="84"/>
          <w:szCs w:val="84"/>
        </w:rPr>
      </w:pPr>
    </w:p>
    <w:p w14:paraId="4FE75AD0">
      <w:pPr>
        <w:rPr>
          <w:rFonts w:hint="eastAsia" w:ascii="ArialUnicodeMS" w:eastAsia="ArialUnicodeMS" w:cs="ArialUnicodeMS"/>
          <w:kern w:val="0"/>
          <w:sz w:val="84"/>
          <w:szCs w:val="84"/>
        </w:rPr>
      </w:pPr>
    </w:p>
    <w:p w14:paraId="3894C7B5">
      <w:pPr>
        <w:rPr>
          <w:rFonts w:hint="eastAsia" w:ascii="ArialUnicodeMS" w:eastAsia="ArialUnicodeMS" w:cs="ArialUnicodeMS"/>
          <w:kern w:val="0"/>
          <w:sz w:val="84"/>
          <w:szCs w:val="84"/>
        </w:rPr>
      </w:pPr>
    </w:p>
    <w:p w14:paraId="6FE76170">
      <w:pPr>
        <w:rPr>
          <w:rFonts w:hint="eastAsia" w:ascii="ArialUnicodeMS" w:eastAsia="ArialUnicodeMS" w:cs="ArialUnicodeMS"/>
          <w:kern w:val="0"/>
          <w:sz w:val="84"/>
          <w:szCs w:val="84"/>
        </w:rPr>
      </w:pPr>
    </w:p>
    <w:p w14:paraId="371DEDDB">
      <w:pPr>
        <w:rPr>
          <w:rFonts w:hint="eastAsia" w:ascii="ArialUnicodeMS" w:eastAsia="ArialUnicodeMS" w:cs="ArialUnicodeMS"/>
          <w:kern w:val="0"/>
          <w:sz w:val="84"/>
          <w:szCs w:val="84"/>
        </w:rPr>
      </w:pPr>
    </w:p>
    <w:p w14:paraId="7EEE2B98">
      <w:pPr>
        <w:jc w:val="center"/>
        <w:rPr>
          <w:rFonts w:hint="eastAsia" w:ascii="黑体" w:eastAsia="黑体" w:cs="黑体"/>
          <w:kern w:val="0"/>
          <w:sz w:val="44"/>
          <w:szCs w:val="44"/>
        </w:rPr>
      </w:pPr>
    </w:p>
    <w:p w14:paraId="7A906FA9">
      <w:pPr>
        <w:jc w:val="center"/>
        <w:rPr>
          <w:rFonts w:hint="eastAsia" w:ascii="黑体" w:eastAsia="黑体" w:cs="黑体"/>
          <w:kern w:val="0"/>
          <w:sz w:val="44"/>
          <w:szCs w:val="44"/>
        </w:rPr>
      </w:pPr>
    </w:p>
    <w:p w14:paraId="20A60476">
      <w:pPr>
        <w:jc w:val="center"/>
        <w:rPr>
          <w:rFonts w:hint="eastAsia" w:ascii="黑体" w:eastAsia="黑体" w:cs="黑体"/>
          <w:kern w:val="0"/>
          <w:sz w:val="44"/>
          <w:szCs w:val="44"/>
        </w:rPr>
      </w:pPr>
    </w:p>
    <w:p w14:paraId="524D5CCA">
      <w:pPr>
        <w:jc w:val="center"/>
        <w:rPr>
          <w:rFonts w:hint="eastAsia" w:ascii="黑体" w:eastAsia="黑体" w:cs="黑体"/>
          <w:kern w:val="0"/>
          <w:sz w:val="44"/>
          <w:szCs w:val="44"/>
        </w:rPr>
      </w:pPr>
    </w:p>
    <w:p w14:paraId="46638226">
      <w:pPr>
        <w:spacing w:line="560" w:lineRule="exact"/>
        <w:ind w:firstLine="646"/>
        <w:jc w:val="center"/>
        <w:rPr>
          <w:rFonts w:hint="eastAsia" w:ascii="方正小标宋简体" w:eastAsia="方正小标宋简体"/>
          <w:b/>
          <w:sz w:val="44"/>
          <w:szCs w:val="44"/>
        </w:rPr>
      </w:pPr>
      <w:r>
        <w:rPr>
          <w:rFonts w:hint="eastAsia" w:ascii="方正小标宋简体" w:eastAsia="方正小标宋简体"/>
          <w:b/>
          <w:sz w:val="44"/>
          <w:szCs w:val="44"/>
        </w:rPr>
        <w:t>目    录</w:t>
      </w:r>
    </w:p>
    <w:p w14:paraId="4E79AE6F">
      <w:pPr>
        <w:spacing w:line="560" w:lineRule="exact"/>
        <w:ind w:firstLine="645"/>
        <w:rPr>
          <w:rFonts w:hint="eastAsia" w:ascii="仿宋_GB2312" w:eastAsia="仿宋_GB2312"/>
          <w:b/>
          <w:sz w:val="32"/>
          <w:szCs w:val="32"/>
        </w:rPr>
      </w:pPr>
    </w:p>
    <w:p w14:paraId="3B8CB5A7">
      <w:pPr>
        <w:spacing w:line="560" w:lineRule="exact"/>
        <w:ind w:firstLine="645"/>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sz w:val="32"/>
          <w:szCs w:val="32"/>
          <w:lang w:val="en-US" w:eastAsia="zh-CN"/>
        </w:rPr>
        <w:t>广西师范大学附属中学</w:t>
      </w:r>
      <w:r>
        <w:rPr>
          <w:rFonts w:hint="eastAsia" w:ascii="黑体" w:hAnsi="黑体" w:eastAsia="黑体"/>
          <w:sz w:val="32"/>
          <w:szCs w:val="32"/>
        </w:rPr>
        <w:t>概况</w:t>
      </w:r>
    </w:p>
    <w:p w14:paraId="6018BB0C">
      <w:pPr>
        <w:spacing w:line="560" w:lineRule="exact"/>
        <w:ind w:firstLine="645"/>
        <w:rPr>
          <w:rFonts w:hint="eastAsia" w:ascii="仿宋_GB2312" w:eastAsia="仿宋_GB2312"/>
          <w:sz w:val="32"/>
          <w:szCs w:val="32"/>
          <w:lang w:eastAsia="zh-CN"/>
        </w:rPr>
      </w:pPr>
      <w:r>
        <w:rPr>
          <w:rFonts w:hint="eastAsia" w:ascii="仿宋_GB2312" w:eastAsia="仿宋_GB2312"/>
          <w:sz w:val="32"/>
          <w:szCs w:val="32"/>
        </w:rPr>
        <w:t>一、</w:t>
      </w:r>
      <w:r>
        <w:rPr>
          <w:rFonts w:hint="eastAsia" w:ascii="仿宋_GB2312" w:eastAsia="仿宋_GB2312"/>
          <w:sz w:val="32"/>
          <w:szCs w:val="32"/>
          <w:lang w:eastAsia="zh-CN"/>
        </w:rPr>
        <w:t>本部门职责</w:t>
      </w:r>
    </w:p>
    <w:p w14:paraId="7A9194CD">
      <w:pPr>
        <w:spacing w:line="560" w:lineRule="exact"/>
        <w:ind w:firstLine="645"/>
        <w:rPr>
          <w:rFonts w:hint="eastAsia" w:ascii="仿宋_GB2312" w:eastAsia="仿宋_GB2312"/>
          <w:sz w:val="32"/>
          <w:szCs w:val="32"/>
          <w:lang w:eastAsia="zh-CN"/>
        </w:rPr>
      </w:pPr>
      <w:r>
        <w:rPr>
          <w:rFonts w:hint="eastAsia" w:ascii="仿宋_GB2312" w:eastAsia="仿宋_GB2312"/>
          <w:sz w:val="32"/>
          <w:szCs w:val="32"/>
        </w:rPr>
        <w:t>二、</w:t>
      </w:r>
      <w:r>
        <w:rPr>
          <w:rFonts w:hint="eastAsia" w:ascii="仿宋_GB2312" w:eastAsia="仿宋_GB2312"/>
          <w:sz w:val="32"/>
          <w:szCs w:val="32"/>
          <w:lang w:eastAsia="zh-CN"/>
        </w:rPr>
        <w:t>机构设置情况</w:t>
      </w:r>
    </w:p>
    <w:p w14:paraId="051207D2">
      <w:pPr>
        <w:spacing w:line="560" w:lineRule="exact"/>
        <w:ind w:firstLine="645"/>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广西师范大学附属中学</w:t>
      </w:r>
      <w:r>
        <w:rPr>
          <w:rFonts w:hint="eastAsia" w:ascii="黑体" w:hAnsi="黑体" w:eastAsia="黑体"/>
          <w:sz w:val="32"/>
          <w:szCs w:val="32"/>
          <w:lang w:eastAsia="zh-CN"/>
        </w:rPr>
        <w:t>202</w:t>
      </w:r>
      <w:r>
        <w:rPr>
          <w:rFonts w:hint="eastAsia" w:ascii="黑体" w:hAnsi="黑体" w:eastAsia="黑体"/>
          <w:sz w:val="32"/>
          <w:szCs w:val="32"/>
          <w:lang w:val="en-US" w:eastAsia="zh-CN"/>
        </w:rPr>
        <w:t>5</w:t>
      </w:r>
      <w:r>
        <w:rPr>
          <w:rFonts w:hint="eastAsia" w:ascii="黑体" w:hAnsi="黑体" w:eastAsia="黑体"/>
          <w:sz w:val="32"/>
          <w:szCs w:val="32"/>
        </w:rPr>
        <w:t>年度部门决算报表</w:t>
      </w:r>
    </w:p>
    <w:p w14:paraId="310C9A3D">
      <w:pPr>
        <w:spacing w:line="560" w:lineRule="exact"/>
        <w:ind w:left="645"/>
        <w:rPr>
          <w:rFonts w:hint="eastAsia" w:ascii="仿宋_GB2312" w:eastAsia="仿宋_GB2312"/>
          <w:sz w:val="32"/>
          <w:szCs w:val="32"/>
        </w:rPr>
      </w:pPr>
      <w:r>
        <w:rPr>
          <w:rFonts w:hint="eastAsia" w:ascii="仿宋_GB2312" w:eastAsia="仿宋_GB2312"/>
          <w:sz w:val="32"/>
          <w:szCs w:val="32"/>
        </w:rPr>
        <w:t>表一：收入支出决算总表</w:t>
      </w:r>
    </w:p>
    <w:p w14:paraId="4D503888">
      <w:pPr>
        <w:spacing w:line="560" w:lineRule="exact"/>
        <w:ind w:left="645"/>
        <w:rPr>
          <w:rFonts w:hint="eastAsia" w:ascii="仿宋_GB2312" w:eastAsia="仿宋_GB2312"/>
          <w:sz w:val="32"/>
          <w:szCs w:val="32"/>
        </w:rPr>
      </w:pPr>
      <w:r>
        <w:rPr>
          <w:rFonts w:hint="eastAsia" w:ascii="仿宋_GB2312" w:eastAsia="仿宋_GB2312"/>
          <w:sz w:val="32"/>
          <w:szCs w:val="32"/>
        </w:rPr>
        <w:t>表二：收入决算表</w:t>
      </w:r>
    </w:p>
    <w:p w14:paraId="35D3F9C4">
      <w:pPr>
        <w:spacing w:line="560" w:lineRule="exact"/>
        <w:ind w:left="645"/>
        <w:rPr>
          <w:rFonts w:hint="eastAsia" w:ascii="仿宋_GB2312" w:eastAsia="仿宋_GB2312"/>
          <w:sz w:val="32"/>
          <w:szCs w:val="32"/>
        </w:rPr>
      </w:pPr>
      <w:r>
        <w:rPr>
          <w:rFonts w:hint="eastAsia" w:ascii="仿宋_GB2312" w:eastAsia="仿宋_GB2312"/>
          <w:sz w:val="32"/>
          <w:szCs w:val="32"/>
        </w:rPr>
        <w:t>表三：支出决算表</w:t>
      </w:r>
    </w:p>
    <w:p w14:paraId="0B065A6B">
      <w:pPr>
        <w:spacing w:line="560" w:lineRule="exact"/>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279732FF">
      <w:pPr>
        <w:spacing w:line="560" w:lineRule="exact"/>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082B7692">
      <w:pPr>
        <w:spacing w:line="560" w:lineRule="exact"/>
        <w:ind w:left="645"/>
        <w:rPr>
          <w:rFonts w:hint="eastAsia" w:ascii="仿宋_GB2312" w:eastAsia="仿宋_GB2312"/>
          <w:sz w:val="32"/>
          <w:szCs w:val="32"/>
        </w:rPr>
      </w:pPr>
      <w:r>
        <w:rPr>
          <w:rFonts w:hint="eastAsia" w:ascii="仿宋_GB2312" w:eastAsia="仿宋_GB2312"/>
          <w:sz w:val="32"/>
          <w:szCs w:val="32"/>
        </w:rPr>
        <w:t>表六：一般公共预算财政拨款基本支出决算明细表</w:t>
      </w:r>
    </w:p>
    <w:p w14:paraId="71BA943D">
      <w:pPr>
        <w:spacing w:line="560" w:lineRule="exact"/>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29F44864">
      <w:pPr>
        <w:spacing w:line="560" w:lineRule="exact"/>
        <w:ind w:left="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14:paraId="5703AE69">
      <w:pPr>
        <w:spacing w:line="560" w:lineRule="exact"/>
        <w:ind w:left="645"/>
        <w:rPr>
          <w:rFonts w:hint="eastAsia" w:ascii="仿宋_GB2312" w:eastAsia="仿宋_GB2312"/>
          <w:sz w:val="32"/>
          <w:szCs w:val="32"/>
        </w:rPr>
      </w:pPr>
      <w:r>
        <w:rPr>
          <w:rFonts w:hint="eastAsia" w:ascii="仿宋_GB2312" w:eastAsia="仿宋_GB2312"/>
          <w:sz w:val="32"/>
          <w:szCs w:val="32"/>
        </w:rPr>
        <w:t>表九：财政拨款“三公”经费支出决算表</w:t>
      </w:r>
    </w:p>
    <w:p w14:paraId="0AA0792D">
      <w:pPr>
        <w:spacing w:line="560" w:lineRule="exact"/>
        <w:ind w:firstLine="645"/>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广西师范大学附属中学</w:t>
      </w:r>
      <w:r>
        <w:rPr>
          <w:rFonts w:hint="eastAsia" w:ascii="黑体" w:hAnsi="黑体" w:eastAsia="黑体"/>
          <w:sz w:val="32"/>
          <w:szCs w:val="32"/>
          <w:lang w:eastAsia="zh-CN"/>
        </w:rPr>
        <w:t>202</w:t>
      </w:r>
      <w:r>
        <w:rPr>
          <w:rFonts w:hint="eastAsia" w:ascii="黑体" w:hAnsi="黑体" w:eastAsia="黑体"/>
          <w:sz w:val="32"/>
          <w:szCs w:val="32"/>
          <w:lang w:val="en-US" w:eastAsia="zh-CN"/>
        </w:rPr>
        <w:t>5</w:t>
      </w:r>
      <w:r>
        <w:rPr>
          <w:rFonts w:hint="eastAsia" w:ascii="黑体" w:hAnsi="黑体" w:eastAsia="黑体"/>
          <w:sz w:val="32"/>
          <w:szCs w:val="32"/>
        </w:rPr>
        <w:t>年度部门决算情况说明</w:t>
      </w:r>
    </w:p>
    <w:p w14:paraId="04FFF79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2025</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14:paraId="6352671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2025</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20189AA5">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年度一般公共预算财政拨款基本支出决算情况说明。</w:t>
      </w:r>
    </w:p>
    <w:p w14:paraId="71AA9D10">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2025</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14:paraId="43985E38">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年度国有资本经营预算支出决算情况</w:t>
      </w:r>
      <w:r>
        <w:rPr>
          <w:rFonts w:hint="eastAsia" w:ascii="仿宋_GB2312" w:eastAsia="仿宋_GB2312" w:cs="仿宋_GB2312"/>
          <w:kern w:val="0"/>
          <w:sz w:val="32"/>
          <w:szCs w:val="32"/>
          <w:lang w:eastAsia="zh-CN"/>
        </w:rPr>
        <w:t>。</w:t>
      </w:r>
    </w:p>
    <w:p w14:paraId="4981A18F">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1EA3AAAF">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21915E79">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31ED5BF0">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第四部分：名词解释</w:t>
      </w:r>
    </w:p>
    <w:p w14:paraId="36843EE9">
      <w:pPr>
        <w:spacing w:line="560" w:lineRule="exact"/>
        <w:jc w:val="center"/>
        <w:rPr>
          <w:rFonts w:hint="eastAsia" w:ascii="仿宋_GB2312" w:eastAsia="仿宋_GB2312"/>
        </w:rPr>
      </w:pPr>
    </w:p>
    <w:p w14:paraId="4D0E1297">
      <w:pPr>
        <w:rPr>
          <w:rFonts w:hint="eastAsia" w:ascii="仿宋_GB2312" w:eastAsia="仿宋_GB2312"/>
          <w:b/>
          <w:sz w:val="32"/>
          <w:szCs w:val="32"/>
        </w:rPr>
      </w:pPr>
    </w:p>
    <w:p w14:paraId="66F7C296">
      <w:pPr>
        <w:rPr>
          <w:rFonts w:hint="eastAsia" w:ascii="仿宋_GB2312" w:eastAsia="仿宋_GB2312"/>
          <w:b/>
          <w:sz w:val="32"/>
          <w:szCs w:val="32"/>
        </w:rPr>
      </w:pPr>
    </w:p>
    <w:p w14:paraId="7AE9A7CE">
      <w:pPr>
        <w:rPr>
          <w:rFonts w:hint="eastAsia" w:ascii="仿宋_GB2312" w:eastAsia="仿宋_GB2312"/>
          <w:b/>
          <w:sz w:val="32"/>
          <w:szCs w:val="32"/>
        </w:rPr>
      </w:pPr>
    </w:p>
    <w:p w14:paraId="22ECEFD7">
      <w:pPr>
        <w:rPr>
          <w:rFonts w:hint="eastAsia" w:ascii="仿宋_GB2312" w:eastAsia="仿宋_GB2312"/>
          <w:b/>
          <w:sz w:val="32"/>
          <w:szCs w:val="32"/>
        </w:rPr>
      </w:pPr>
    </w:p>
    <w:p w14:paraId="7BC349D2">
      <w:pPr>
        <w:rPr>
          <w:rFonts w:hint="eastAsia" w:ascii="仿宋_GB2312" w:eastAsia="仿宋_GB2312"/>
          <w:b/>
          <w:sz w:val="32"/>
          <w:szCs w:val="32"/>
        </w:rPr>
      </w:pPr>
    </w:p>
    <w:p w14:paraId="3727B2EF">
      <w:pPr>
        <w:rPr>
          <w:rFonts w:hint="eastAsia" w:ascii="仿宋_GB2312" w:eastAsia="仿宋_GB2312"/>
          <w:b/>
          <w:sz w:val="32"/>
          <w:szCs w:val="32"/>
        </w:rPr>
      </w:pPr>
    </w:p>
    <w:p w14:paraId="656E9159">
      <w:pPr>
        <w:rPr>
          <w:rFonts w:hint="eastAsia" w:ascii="仿宋_GB2312" w:eastAsia="仿宋_GB2312"/>
          <w:b/>
          <w:sz w:val="32"/>
          <w:szCs w:val="32"/>
        </w:rPr>
      </w:pPr>
    </w:p>
    <w:p w14:paraId="1032EE19">
      <w:pPr>
        <w:rPr>
          <w:rFonts w:hint="eastAsia" w:ascii="仿宋_GB2312" w:eastAsia="仿宋_GB2312"/>
          <w:b/>
          <w:sz w:val="32"/>
          <w:szCs w:val="32"/>
        </w:rPr>
      </w:pPr>
    </w:p>
    <w:p w14:paraId="7BF5C9A8">
      <w:pPr>
        <w:rPr>
          <w:rFonts w:hint="eastAsia" w:ascii="仿宋_GB2312" w:eastAsia="仿宋_GB2312"/>
          <w:b/>
          <w:sz w:val="32"/>
          <w:szCs w:val="32"/>
        </w:rPr>
      </w:pPr>
    </w:p>
    <w:p w14:paraId="0485F38B">
      <w:pPr>
        <w:rPr>
          <w:rFonts w:hint="eastAsia" w:ascii="仿宋_GB2312" w:eastAsia="仿宋_GB2312"/>
          <w:b/>
          <w:sz w:val="32"/>
          <w:szCs w:val="32"/>
        </w:rPr>
      </w:pPr>
    </w:p>
    <w:p w14:paraId="4D6A00DA">
      <w:pPr>
        <w:rPr>
          <w:rFonts w:hint="eastAsia" w:ascii="仿宋_GB2312" w:eastAsia="仿宋_GB2312"/>
          <w:b/>
          <w:sz w:val="32"/>
          <w:szCs w:val="32"/>
        </w:rPr>
      </w:pPr>
    </w:p>
    <w:p w14:paraId="29A071E6">
      <w:pPr>
        <w:rPr>
          <w:rFonts w:hint="eastAsia" w:ascii="仿宋_GB2312" w:eastAsia="仿宋_GB2312"/>
          <w:b/>
          <w:sz w:val="32"/>
          <w:szCs w:val="32"/>
        </w:rPr>
      </w:pPr>
    </w:p>
    <w:p w14:paraId="7D35A279">
      <w:pPr>
        <w:rPr>
          <w:rFonts w:hint="eastAsia" w:ascii="仿宋_GB2312" w:eastAsia="仿宋_GB2312"/>
          <w:b/>
          <w:sz w:val="32"/>
          <w:szCs w:val="32"/>
        </w:rPr>
      </w:pPr>
    </w:p>
    <w:p w14:paraId="4B4AA11A">
      <w:pPr>
        <w:rPr>
          <w:rFonts w:hint="eastAsia" w:ascii="仿宋_GB2312" w:eastAsia="仿宋_GB2312"/>
          <w:b/>
          <w:sz w:val="32"/>
          <w:szCs w:val="32"/>
        </w:rPr>
      </w:pPr>
    </w:p>
    <w:p w14:paraId="1282D9C4">
      <w:pPr>
        <w:rPr>
          <w:rFonts w:hint="eastAsia" w:ascii="仿宋_GB2312" w:eastAsia="仿宋_GB2312"/>
          <w:b/>
          <w:sz w:val="32"/>
          <w:szCs w:val="32"/>
        </w:rPr>
      </w:pPr>
    </w:p>
    <w:p w14:paraId="7E7DE7EF">
      <w:pPr>
        <w:rPr>
          <w:rFonts w:hint="eastAsia" w:ascii="仿宋_GB2312" w:eastAsia="仿宋_GB2312"/>
          <w:b/>
          <w:sz w:val="32"/>
          <w:szCs w:val="32"/>
        </w:rPr>
      </w:pPr>
    </w:p>
    <w:p w14:paraId="25EDC728">
      <w:pPr>
        <w:rPr>
          <w:rFonts w:hint="eastAsia" w:ascii="仿宋_GB2312" w:eastAsia="仿宋_GB2312"/>
          <w:b/>
          <w:sz w:val="32"/>
          <w:szCs w:val="32"/>
        </w:rPr>
      </w:pPr>
    </w:p>
    <w:p w14:paraId="090760B1">
      <w:pPr>
        <w:rPr>
          <w:rFonts w:hint="eastAsia" w:ascii="仿宋_GB2312" w:eastAsia="仿宋_GB2312"/>
          <w:b/>
          <w:sz w:val="32"/>
          <w:szCs w:val="32"/>
        </w:rPr>
      </w:pPr>
    </w:p>
    <w:p w14:paraId="7BC9D55C">
      <w:pPr>
        <w:rPr>
          <w:rFonts w:hint="eastAsia" w:ascii="仿宋_GB2312" w:eastAsia="仿宋_GB2312"/>
          <w:b/>
          <w:sz w:val="32"/>
          <w:szCs w:val="32"/>
        </w:rPr>
      </w:pPr>
    </w:p>
    <w:p w14:paraId="39A75642">
      <w:pPr>
        <w:spacing w:line="560" w:lineRule="exact"/>
        <w:ind w:firstLine="646"/>
        <w:jc w:val="center"/>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sz w:val="32"/>
          <w:szCs w:val="32"/>
          <w:lang w:val="en-US" w:eastAsia="zh-CN"/>
        </w:rPr>
        <w:t>广西师范大学附属中学</w:t>
      </w:r>
      <w:r>
        <w:rPr>
          <w:rFonts w:hint="eastAsia" w:ascii="黑体" w:hAnsi="黑体" w:eastAsia="黑体"/>
          <w:sz w:val="32"/>
          <w:szCs w:val="32"/>
        </w:rPr>
        <w:t>概况</w:t>
      </w:r>
    </w:p>
    <w:p w14:paraId="31263F03">
      <w:pPr>
        <w:spacing w:line="560" w:lineRule="exact"/>
        <w:ind w:firstLine="646"/>
        <w:rPr>
          <w:rFonts w:hint="eastAsia" w:ascii="黑体" w:hAnsi="黑体" w:eastAsia="黑体"/>
          <w:sz w:val="32"/>
          <w:szCs w:val="32"/>
          <w:lang w:eastAsia="zh-CN"/>
        </w:rPr>
      </w:pPr>
      <w:r>
        <w:rPr>
          <w:rFonts w:hint="eastAsia" w:ascii="黑体" w:hAnsi="黑体" w:eastAsia="黑体"/>
          <w:sz w:val="32"/>
          <w:szCs w:val="32"/>
        </w:rPr>
        <w:t>一、</w:t>
      </w:r>
      <w:r>
        <w:rPr>
          <w:rFonts w:hint="eastAsia" w:ascii="黑体" w:hAnsi="黑体" w:eastAsia="黑体"/>
          <w:sz w:val="32"/>
          <w:szCs w:val="32"/>
          <w:lang w:eastAsia="zh-CN"/>
        </w:rPr>
        <w:t>本部门职责</w:t>
      </w:r>
    </w:p>
    <w:p w14:paraId="6A8903A7">
      <w:pPr>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广西师范大学附属中学是自治区教育厅直属管辖的全日制普通中学，实施高中、初中学历教育并提供相应社会服务，开展高等师范院校社会实践、教改实践基地服务工作，属于财政全额拨款的事业单位。</w:t>
      </w:r>
    </w:p>
    <w:p w14:paraId="1FB6D836">
      <w:pPr>
        <w:spacing w:line="560" w:lineRule="exact"/>
        <w:ind w:firstLine="646"/>
        <w:rPr>
          <w:rFonts w:hint="eastAsia"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机构设置情况</w:t>
      </w:r>
    </w:p>
    <w:p w14:paraId="5D8EF529">
      <w:pPr>
        <w:spacing w:line="560" w:lineRule="exact"/>
        <w:ind w:firstLine="645"/>
        <w:rPr>
          <w:rFonts w:hint="eastAsia" w:ascii="黑体" w:hAnsi="黑体" w:eastAsia="黑体"/>
          <w:sz w:val="32"/>
          <w:szCs w:val="32"/>
        </w:rPr>
      </w:pPr>
      <w:r>
        <w:rPr>
          <w:rFonts w:hint="eastAsia" w:ascii="仿宋_GB2312" w:eastAsia="仿宋_GB2312"/>
          <w:sz w:val="32"/>
          <w:szCs w:val="32"/>
          <w:lang w:val="en-US" w:eastAsia="zh-CN"/>
        </w:rPr>
        <w:t>广西师范大学附属中学机构设置由党办、校办、教务处、德育处、总务处、安保处、科研处、国际部、宣传处、合作办、团委、工会组成。学校现有高中</w:t>
      </w:r>
      <w:r>
        <w:rPr>
          <w:rFonts w:hint="eastAsia" w:ascii="仿宋_GB2312" w:eastAsia="仿宋_GB2312"/>
          <w:sz w:val="32"/>
          <w:szCs w:val="32"/>
          <w:highlight w:val="none"/>
          <w:lang w:val="en-US" w:eastAsia="zh-CN"/>
        </w:rPr>
        <w:t>46</w:t>
      </w:r>
      <w:r>
        <w:rPr>
          <w:rFonts w:hint="eastAsia" w:ascii="仿宋_GB2312" w:eastAsia="仿宋_GB2312"/>
          <w:sz w:val="32"/>
          <w:szCs w:val="32"/>
          <w:lang w:val="en-US" w:eastAsia="zh-CN"/>
        </w:rPr>
        <w:t>个教学班（含7个国际班），初</w:t>
      </w:r>
      <w:r>
        <w:rPr>
          <w:rFonts w:hint="eastAsia" w:ascii="仿宋_GB2312" w:eastAsia="仿宋_GB2312"/>
          <w:sz w:val="32"/>
          <w:szCs w:val="32"/>
          <w:highlight w:val="none"/>
          <w:lang w:val="en-US" w:eastAsia="zh-CN"/>
        </w:rPr>
        <w:t>中19个教学班，初高中在校学生3203人</w:t>
      </w:r>
      <w:r>
        <w:rPr>
          <w:rFonts w:hint="eastAsia" w:ascii="仿宋_GB2312" w:eastAsia="仿宋_GB2312"/>
          <w:sz w:val="32"/>
          <w:szCs w:val="32"/>
          <w:lang w:val="en-US" w:eastAsia="zh-CN"/>
        </w:rPr>
        <w:t>。</w:t>
      </w:r>
    </w:p>
    <w:p w14:paraId="65837D30">
      <w:pPr>
        <w:spacing w:line="560" w:lineRule="exact"/>
        <w:ind w:firstLine="320" w:firstLineChars="100"/>
        <w:jc w:val="both"/>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广西师范大学附属中学</w:t>
      </w:r>
      <w:r>
        <w:rPr>
          <w:rFonts w:hint="eastAsia" w:ascii="黑体" w:hAnsi="黑体" w:eastAsia="黑体"/>
          <w:sz w:val="32"/>
          <w:szCs w:val="32"/>
          <w:lang w:eastAsia="zh-CN"/>
        </w:rPr>
        <w:t>2025</w:t>
      </w:r>
      <w:r>
        <w:rPr>
          <w:rFonts w:hint="eastAsia" w:ascii="黑体" w:hAnsi="黑体" w:eastAsia="黑体"/>
          <w:sz w:val="32"/>
          <w:szCs w:val="32"/>
        </w:rPr>
        <w:t>年度部门决算报表</w:t>
      </w:r>
    </w:p>
    <w:p w14:paraId="41054B1D">
      <w:pPr>
        <w:spacing w:line="560" w:lineRule="exact"/>
        <w:ind w:firstLine="645"/>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此部分另附表格</w:t>
      </w:r>
      <w:r>
        <w:rPr>
          <w:rFonts w:hint="eastAsia" w:ascii="仿宋_GB2312" w:eastAsia="仿宋_GB2312" w:cs="Times New Roman"/>
          <w:sz w:val="32"/>
          <w:szCs w:val="32"/>
          <w:lang w:eastAsia="zh-CN"/>
        </w:rPr>
        <w:t>。（</w:t>
      </w:r>
      <w:r>
        <w:rPr>
          <w:rFonts w:hint="eastAsia" w:ascii="仿宋_GB2312" w:hAnsi="Times New Roman" w:eastAsia="仿宋_GB2312" w:cs="Times New Roman"/>
          <w:sz w:val="32"/>
          <w:szCs w:val="32"/>
        </w:rPr>
        <w:t>详见附件</w:t>
      </w:r>
      <w:r>
        <w:rPr>
          <w:rFonts w:hint="eastAsia" w:ascii="仿宋_GB2312" w:hAnsi="Times New Roman" w:eastAsia="仿宋_GB2312" w:cs="Times New Roman"/>
          <w:sz w:val="32"/>
          <w:szCs w:val="32"/>
          <w:lang w:val="en-US" w:eastAsia="zh-CN"/>
        </w:rPr>
        <w:t>广西师范大学附属中学</w:t>
      </w:r>
      <w:r>
        <w:rPr>
          <w:rFonts w:hint="eastAsia" w:ascii="仿宋_GB2312" w:eastAsia="仿宋_GB2312" w:cs="Times New Roman"/>
          <w:sz w:val="32"/>
          <w:szCs w:val="32"/>
          <w:lang w:val="en-US" w:eastAsia="zh-CN"/>
        </w:rPr>
        <w:t>2025</w:t>
      </w:r>
      <w:r>
        <w:rPr>
          <w:rFonts w:hint="eastAsia" w:ascii="仿宋_GB2312" w:hAnsi="Times New Roman" w:eastAsia="仿宋_GB2312" w:cs="Times New Roman"/>
          <w:sz w:val="32"/>
          <w:szCs w:val="32"/>
          <w:lang w:val="en-US" w:eastAsia="zh-CN"/>
        </w:rPr>
        <w:t>年度决算公开表</w:t>
      </w:r>
      <w:r>
        <w:rPr>
          <w:rFonts w:hint="eastAsia" w:ascii="仿宋_GB2312" w:hAnsi="Times New Roman" w:eastAsia="仿宋_GB2312" w:cs="Times New Roman"/>
          <w:sz w:val="32"/>
          <w:szCs w:val="32"/>
        </w:rPr>
        <w:t>)</w:t>
      </w:r>
    </w:p>
    <w:p w14:paraId="164EF163">
      <w:pPr>
        <w:spacing w:line="560" w:lineRule="exact"/>
        <w:jc w:val="center"/>
        <w:rPr>
          <w:rFonts w:hint="eastAsia"/>
        </w:rPr>
      </w:pPr>
    </w:p>
    <w:p w14:paraId="1A53E659">
      <w:pPr>
        <w:spacing w:line="560" w:lineRule="exact"/>
        <w:rPr>
          <w:rFonts w:hint="eastAsia" w:ascii="仿宋_GB2312" w:eastAsia="仿宋_GB2312"/>
          <w:b/>
          <w:sz w:val="32"/>
          <w:szCs w:val="32"/>
        </w:rPr>
        <w:sectPr>
          <w:footerReference r:id="rId3" w:type="default"/>
          <w:footerReference r:id="rId4" w:type="even"/>
          <w:pgSz w:w="11906" w:h="16838"/>
          <w:pgMar w:top="1701" w:right="1474" w:bottom="1247" w:left="1587" w:header="851" w:footer="992" w:gutter="0"/>
          <w:cols w:space="720" w:num="1"/>
          <w:docGrid w:type="lines" w:linePitch="312" w:charSpace="0"/>
        </w:sectPr>
      </w:pPr>
    </w:p>
    <w:p w14:paraId="18865335">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广西师范大学附属中学</w:t>
      </w:r>
      <w:r>
        <w:rPr>
          <w:rFonts w:hint="eastAsia" w:ascii="黑体" w:hAnsi="黑体" w:eastAsia="黑体"/>
          <w:sz w:val="32"/>
          <w:szCs w:val="32"/>
          <w:lang w:eastAsia="zh-CN"/>
        </w:rPr>
        <w:t>2025</w:t>
      </w:r>
      <w:r>
        <w:rPr>
          <w:rFonts w:hint="eastAsia" w:ascii="黑体" w:hAnsi="黑体" w:eastAsia="黑体"/>
          <w:sz w:val="32"/>
          <w:szCs w:val="32"/>
        </w:rPr>
        <w:t>年度部门决算情况说明</w:t>
      </w:r>
    </w:p>
    <w:p w14:paraId="291D4AF7">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2025</w:t>
      </w:r>
      <w:r>
        <w:rPr>
          <w:rFonts w:hint="eastAsia" w:ascii="黑体" w:hAnsi="黑体" w:eastAsia="黑体" w:cs="仿宋_GB2312"/>
          <w:kern w:val="0"/>
          <w:sz w:val="32"/>
          <w:szCs w:val="32"/>
        </w:rPr>
        <w:t>年度收入支出决算总体情况</w:t>
      </w:r>
    </w:p>
    <w:p w14:paraId="5CAE739F">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（一）本部门</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年度总收入</w:t>
      </w:r>
      <w:r>
        <w:rPr>
          <w:rFonts w:hint="eastAsia" w:ascii="仿宋_GB2312" w:eastAsia="仿宋_GB2312" w:cs="仿宋_GB2312"/>
          <w:kern w:val="0"/>
          <w:sz w:val="32"/>
          <w:szCs w:val="32"/>
          <w:lang w:val="en-US" w:eastAsia="zh-CN"/>
        </w:rPr>
        <w:t>8955.39</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8018.14</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减少了3400.87</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降低了29.78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14:paraId="1947FBAA">
      <w:pPr>
        <w:autoSpaceDE w:val="0"/>
        <w:autoSpaceDN w:val="0"/>
        <w:adjustRightInd w:val="0"/>
        <w:spacing w:line="560" w:lineRule="exact"/>
        <w:ind w:firstLine="627" w:firstLineChars="196"/>
        <w:jc w:val="both"/>
        <w:rPr>
          <w:rFonts w:hint="eastAsia"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cs="仿宋_GB2312"/>
          <w:kern w:val="0"/>
          <w:sz w:val="32"/>
          <w:szCs w:val="32"/>
          <w:lang w:val="en-US" w:eastAsia="zh-CN"/>
        </w:rPr>
        <w:t>3307.30</w:t>
      </w:r>
      <w:r>
        <w:rPr>
          <w:rFonts w:hint="eastAsia" w:ascii="仿宋_GB2312" w:eastAsia="仿宋_GB2312" w:cs="仿宋_GB2312"/>
          <w:kern w:val="0"/>
          <w:sz w:val="32"/>
          <w:szCs w:val="32"/>
        </w:rPr>
        <w:t>万元，为自治区本级财政当年拨付的资金。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减少了3817.80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降低了53.58</w:t>
      </w:r>
      <w:r>
        <w:rPr>
          <w:rFonts w:hint="eastAsia" w:ascii="仿宋_GB2312" w:hAnsi="黑体" w:eastAsia="仿宋_GB2312" w:cs="仿宋_GB2312"/>
          <w:kern w:val="0"/>
          <w:sz w:val="32"/>
          <w:szCs w:val="32"/>
        </w:rPr>
        <w:t>%，主要原因</w:t>
      </w:r>
      <w:r>
        <w:rPr>
          <w:rFonts w:hint="eastAsia" w:ascii="仿宋_GB2312" w:hAnsi="黑体" w:eastAsia="仿宋_GB2312" w:cs="仿宋_GB2312"/>
          <w:kern w:val="0"/>
          <w:sz w:val="32"/>
          <w:szCs w:val="32"/>
          <w:lang w:val="en-US" w:eastAsia="zh-CN"/>
        </w:rPr>
        <w:t>是2024年减少了基建项目专项资金。</w:t>
      </w:r>
    </w:p>
    <w:p w14:paraId="0417C827">
      <w:pPr>
        <w:autoSpaceDE w:val="0"/>
        <w:autoSpaceDN w:val="0"/>
        <w:adjustRightInd w:val="0"/>
        <w:spacing w:line="560" w:lineRule="exact"/>
        <w:ind w:firstLine="627" w:firstLineChars="196"/>
        <w:jc w:val="both"/>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2.政府性基金预算财政拨款收入</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与2024年度决算数一致。</w:t>
      </w:r>
    </w:p>
    <w:p w14:paraId="7078DCEE">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。与2024年度决算数一致。</w:t>
      </w:r>
    </w:p>
    <w:p w14:paraId="018AD347">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hint="eastAsia" w:ascii="仿宋_GB2312" w:eastAsia="仿宋_GB2312" w:cs="仿宋_GB2312"/>
          <w:kern w:val="0"/>
          <w:sz w:val="32"/>
          <w:szCs w:val="32"/>
          <w:lang w:val="en-US" w:eastAsia="zh-CN"/>
        </w:rPr>
        <w:t>2639.31</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增加了209.90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增长了8.64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增加了学费收入</w:t>
      </w:r>
      <w:r>
        <w:rPr>
          <w:rFonts w:hint="eastAsia" w:ascii="仿宋_GB2312" w:eastAsia="仿宋_GB2312" w:cs="仿宋_GB2312"/>
          <w:kern w:val="0"/>
          <w:sz w:val="32"/>
          <w:szCs w:val="32"/>
        </w:rPr>
        <w:t>。</w:t>
      </w:r>
    </w:p>
    <w:p w14:paraId="7F350879">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eastAsia="仿宋_GB2312" w:cs="仿宋_GB2312"/>
          <w:kern w:val="0"/>
          <w:sz w:val="32"/>
          <w:szCs w:val="32"/>
          <w:lang w:val="en-US" w:eastAsia="zh-CN"/>
        </w:rPr>
        <w:t>与2024年度决算数一致</w:t>
      </w:r>
      <w:r>
        <w:rPr>
          <w:rFonts w:hint="eastAsia" w:ascii="仿宋_GB2312" w:hAnsi="黑体" w:eastAsia="仿宋_GB2312" w:cs="仿宋_GB2312"/>
          <w:kern w:val="0"/>
          <w:sz w:val="32"/>
          <w:szCs w:val="32"/>
        </w:rPr>
        <w:t>。</w:t>
      </w:r>
    </w:p>
    <w:p w14:paraId="7B804B4F">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cs="仿宋_GB2312"/>
          <w:kern w:val="0"/>
          <w:sz w:val="32"/>
          <w:szCs w:val="32"/>
          <w:lang w:val="en-US" w:eastAsia="zh-CN"/>
        </w:rPr>
        <w:t>2161.53</w:t>
      </w:r>
      <w:r>
        <w:rPr>
          <w:rFonts w:hint="eastAsia" w:ascii="仿宋_GB2312" w:eastAsia="仿宋_GB2312" w:cs="仿宋_GB2312"/>
          <w:kern w:val="0"/>
          <w:sz w:val="32"/>
          <w:szCs w:val="32"/>
        </w:rPr>
        <w:t>万元，为预算单位在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14:paraId="6E4FE2D0">
      <w:pPr>
        <w:autoSpaceDE w:val="0"/>
        <w:autoSpaceDN w:val="0"/>
        <w:adjustRightInd w:val="0"/>
        <w:spacing w:line="560" w:lineRule="exact"/>
        <w:jc w:val="both"/>
        <w:rPr>
          <w:rFonts w:hint="eastAsia"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增加了</w:t>
      </w:r>
      <w:r>
        <w:rPr>
          <w:rFonts w:hint="eastAsia" w:ascii="仿宋_GB2312" w:hAnsi="黑体" w:eastAsia="仿宋_GB2312" w:cs="仿宋_GB2312"/>
          <w:kern w:val="0"/>
          <w:sz w:val="32"/>
          <w:szCs w:val="32"/>
          <w:lang w:val="en-US" w:eastAsia="zh-CN"/>
        </w:rPr>
        <w:t>297.03</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eastAsia="zh-CN"/>
        </w:rPr>
        <w:t>了</w:t>
      </w:r>
      <w:r>
        <w:rPr>
          <w:rFonts w:hint="eastAsia" w:ascii="仿宋_GB2312" w:hAnsi="黑体" w:eastAsia="仿宋_GB2312" w:cs="仿宋_GB2312"/>
          <w:kern w:val="0"/>
          <w:sz w:val="32"/>
          <w:szCs w:val="32"/>
          <w:lang w:val="en-US" w:eastAsia="zh-CN"/>
        </w:rPr>
        <w:t>15.93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增加了集团成员校上缴管理费</w:t>
      </w:r>
      <w:r>
        <w:rPr>
          <w:rFonts w:hint="eastAsia" w:ascii="仿宋_GB2312" w:hAnsi="黑体" w:eastAsia="仿宋_GB2312" w:cs="仿宋_GB2312"/>
          <w:kern w:val="0"/>
          <w:sz w:val="32"/>
          <w:szCs w:val="32"/>
        </w:rPr>
        <w:t>。</w:t>
      </w:r>
    </w:p>
    <w:p w14:paraId="1AA994E3">
      <w:pPr>
        <w:numPr>
          <w:ilvl w:val="0"/>
          <w:numId w:val="0"/>
        </w:num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（含专用结余）</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cs="仿宋_GB2312"/>
          <w:kern w:val="0"/>
          <w:sz w:val="32"/>
          <w:szCs w:val="32"/>
          <w:lang w:eastAsia="zh-CN"/>
        </w:rPr>
        <w:t>、</w:t>
      </w:r>
      <w:r>
        <w:rPr>
          <w:rFonts w:hint="eastAsia" w:ascii="仿宋_GB2312" w:eastAsia="仿宋_GB2312"/>
          <w:sz w:val="32"/>
          <w:szCs w:val="32"/>
        </w:rPr>
        <w:t>专用结余</w:t>
      </w:r>
      <w:r>
        <w:rPr>
          <w:rFonts w:hint="eastAsia" w:ascii="仿宋_GB2312" w:eastAsia="仿宋_GB2312" w:cs="仿宋_GB2312"/>
          <w:kern w:val="0"/>
          <w:sz w:val="32"/>
          <w:szCs w:val="32"/>
        </w:rPr>
        <w:t>弥补本年度收支缺口的资金。</w:t>
      </w:r>
      <w:r>
        <w:rPr>
          <w:rFonts w:hint="eastAsia" w:ascii="仿宋_GB2312" w:eastAsia="仿宋_GB2312" w:cs="仿宋_GB2312"/>
          <w:kern w:val="0"/>
          <w:sz w:val="32"/>
          <w:szCs w:val="32"/>
          <w:lang w:val="en-US" w:eastAsia="zh-CN"/>
        </w:rPr>
        <w:t>与2024年度决算数一致</w:t>
      </w:r>
      <w:r>
        <w:rPr>
          <w:rFonts w:hint="eastAsia" w:ascii="仿宋_GB2312" w:hAnsi="黑体" w:eastAsia="仿宋_GB2312" w:cs="仿宋_GB2312"/>
          <w:kern w:val="0"/>
          <w:sz w:val="32"/>
          <w:szCs w:val="32"/>
        </w:rPr>
        <w:t>。</w:t>
      </w:r>
    </w:p>
    <w:p w14:paraId="67AB3478">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cs="仿宋_GB2312"/>
          <w:kern w:val="0"/>
          <w:sz w:val="32"/>
          <w:szCs w:val="32"/>
          <w:lang w:val="en-US" w:eastAsia="zh-CN"/>
        </w:rPr>
        <w:t>847.25</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增加了800.76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增长了1722.43</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广西师范大学附属中学改扩建和提升项目尚未支付完毕</w:t>
      </w:r>
      <w:r>
        <w:rPr>
          <w:rFonts w:hint="eastAsia" w:ascii="仿宋_GB2312" w:hAnsi="黑体" w:eastAsia="仿宋_GB2312" w:cs="仿宋_GB2312"/>
          <w:kern w:val="0"/>
          <w:sz w:val="32"/>
          <w:szCs w:val="32"/>
        </w:rPr>
        <w:t>。</w:t>
      </w:r>
    </w:p>
    <w:p w14:paraId="474F3CFF">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（二）本部门</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年度总支出</w:t>
      </w:r>
      <w:r>
        <w:rPr>
          <w:rFonts w:hint="eastAsia" w:ascii="仿宋_GB2312" w:eastAsia="仿宋_GB2312" w:cs="仿宋_GB2312"/>
          <w:kern w:val="0"/>
          <w:sz w:val="32"/>
          <w:szCs w:val="32"/>
          <w:lang w:val="en-US" w:eastAsia="zh-CN"/>
        </w:rPr>
        <w:t>8955.39</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7955.39</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减少了2661.86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降低了25.07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14:paraId="70D2B05A">
      <w:pPr>
        <w:autoSpaceDE w:val="0"/>
        <w:autoSpaceDN w:val="0"/>
        <w:adjustRightInd w:val="0"/>
        <w:spacing w:line="560" w:lineRule="exact"/>
        <w:ind w:firstLine="627" w:firstLineChars="196"/>
        <w:jc w:val="both"/>
        <w:rPr>
          <w:rFonts w:hint="eastAsia"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.教育支出（类）</w:t>
      </w:r>
      <w:r>
        <w:rPr>
          <w:rFonts w:hint="eastAsia" w:ascii="仿宋_GB2312" w:eastAsia="仿宋_GB2312" w:cs="仿宋_GB2312"/>
          <w:kern w:val="0"/>
          <w:sz w:val="32"/>
          <w:szCs w:val="32"/>
          <w:lang w:val="en-US" w:eastAsia="zh-CN"/>
        </w:rPr>
        <w:t>7486.27万元，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val="en-US" w:eastAsia="zh-CN"/>
        </w:rPr>
        <w:t>学校开展初高中教育事业的各项支出。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减少了2710.08</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降低了26.58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val="en-US" w:eastAsia="zh-CN"/>
        </w:rPr>
        <w:t>基建工程</w:t>
      </w:r>
      <w:r>
        <w:rPr>
          <w:rFonts w:hint="eastAsia" w:ascii="仿宋_GB2312" w:eastAsia="仿宋_GB2312" w:cs="仿宋_GB2312"/>
          <w:kern w:val="0"/>
          <w:sz w:val="32"/>
          <w:szCs w:val="32"/>
          <w:lang w:eastAsia="zh-CN"/>
        </w:rPr>
        <w:t>项目经费</w:t>
      </w:r>
      <w:r>
        <w:rPr>
          <w:rFonts w:hint="eastAsia" w:ascii="仿宋_GB2312" w:eastAsia="仿宋_GB2312" w:cs="仿宋_GB2312"/>
          <w:kern w:val="0"/>
          <w:sz w:val="32"/>
          <w:szCs w:val="32"/>
          <w:lang w:val="en-US" w:eastAsia="zh-CN"/>
        </w:rPr>
        <w:t>减少</w:t>
      </w:r>
      <w:r>
        <w:rPr>
          <w:rFonts w:hint="eastAsia" w:ascii="仿宋_GB2312" w:eastAsia="仿宋_GB2312" w:cs="仿宋_GB2312"/>
          <w:kern w:val="0"/>
          <w:sz w:val="32"/>
          <w:szCs w:val="32"/>
        </w:rPr>
        <w:t>。</w:t>
      </w:r>
    </w:p>
    <w:p w14:paraId="534E05E9">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社会保障和就业支出（类）</w:t>
      </w:r>
      <w:r>
        <w:rPr>
          <w:rFonts w:hint="eastAsia" w:ascii="仿宋_GB2312" w:eastAsia="仿宋_GB2312" w:cs="仿宋_GB2312"/>
          <w:kern w:val="0"/>
          <w:sz w:val="32"/>
          <w:szCs w:val="32"/>
          <w:lang w:val="en-US" w:eastAsia="zh-CN"/>
        </w:rPr>
        <w:t>276.44万元，</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val="en-US" w:eastAsia="zh-CN"/>
        </w:rPr>
        <w:t>养老保险和职业年金。</w:t>
      </w:r>
      <w:r>
        <w:rPr>
          <w:rFonts w:hint="eastAsia" w:ascii="仿宋_GB2312" w:eastAsia="仿宋_GB2312" w:cs="仿宋_GB2312"/>
          <w:kern w:val="0"/>
          <w:sz w:val="32"/>
          <w:szCs w:val="32"/>
        </w:rPr>
        <w:t>较</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年度决算数</w:t>
      </w:r>
      <w:r>
        <w:rPr>
          <w:rFonts w:hint="eastAsia" w:ascii="仿宋_GB2312" w:eastAsia="仿宋_GB2312" w:cs="仿宋_GB2312"/>
          <w:kern w:val="0"/>
          <w:sz w:val="32"/>
          <w:szCs w:val="32"/>
          <w:lang w:val="en-US" w:eastAsia="zh-CN"/>
        </w:rPr>
        <w:t>增加了58.92万元，增长了27.09</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val="en-US" w:eastAsia="zh-CN"/>
        </w:rPr>
        <w:t>是</w:t>
      </w:r>
      <w:r>
        <w:rPr>
          <w:rFonts w:hint="eastAsia" w:ascii="仿宋_GB2312" w:eastAsia="仿宋_GB2312" w:cs="仿宋_GB2312"/>
          <w:kern w:val="0"/>
          <w:sz w:val="32"/>
          <w:szCs w:val="32"/>
          <w:lang w:eastAsia="zh-CN"/>
        </w:rPr>
        <w:t>按照</w:t>
      </w:r>
      <w:r>
        <w:rPr>
          <w:rFonts w:hint="eastAsia" w:ascii="仿宋_GB2312" w:eastAsia="仿宋_GB2312" w:cs="仿宋_GB2312"/>
          <w:kern w:val="0"/>
          <w:sz w:val="32"/>
          <w:szCs w:val="32"/>
          <w:lang w:val="en-US"/>
        </w:rPr>
        <w:t>2025</w:t>
      </w:r>
      <w:r>
        <w:rPr>
          <w:rFonts w:hint="eastAsia" w:ascii="仿宋_GB2312" w:eastAsia="仿宋_GB2312" w:cs="仿宋_GB2312"/>
          <w:kern w:val="0"/>
          <w:sz w:val="32"/>
          <w:szCs w:val="32"/>
          <w:lang w:eastAsia="zh-CN"/>
        </w:rPr>
        <w:t>年新的支出功能分类标准将“离休干部春节慰问经费”、“物业服务补贴（离休人员）”、“退休干部春节慰问经费”、“物业服务补贴（退休人员）”等项目的支出功能由“</w:t>
      </w:r>
      <w:r>
        <w:rPr>
          <w:rFonts w:hint="eastAsia" w:ascii="仿宋_GB2312" w:eastAsia="仿宋_GB2312" w:cs="仿宋_GB2312"/>
          <w:kern w:val="0"/>
          <w:sz w:val="32"/>
          <w:szCs w:val="32"/>
          <w:lang w:val="en-US"/>
        </w:rPr>
        <w:t>205-</w:t>
      </w:r>
      <w:r>
        <w:rPr>
          <w:rFonts w:hint="eastAsia" w:ascii="仿宋_GB2312" w:eastAsia="仿宋_GB2312" w:cs="仿宋_GB2312"/>
          <w:kern w:val="0"/>
          <w:sz w:val="32"/>
          <w:szCs w:val="32"/>
          <w:lang w:eastAsia="zh-CN"/>
        </w:rPr>
        <w:t>教育支出”调整为“</w:t>
      </w:r>
      <w:r>
        <w:rPr>
          <w:rFonts w:hint="eastAsia" w:ascii="仿宋_GB2312" w:eastAsia="仿宋_GB2312" w:cs="仿宋_GB2312"/>
          <w:kern w:val="0"/>
          <w:sz w:val="32"/>
          <w:szCs w:val="32"/>
          <w:lang w:val="en-US"/>
        </w:rPr>
        <w:t>208-</w:t>
      </w:r>
      <w:r>
        <w:rPr>
          <w:rFonts w:hint="eastAsia" w:ascii="仿宋_GB2312" w:eastAsia="仿宋_GB2312" w:cs="仿宋_GB2312"/>
          <w:kern w:val="0"/>
          <w:sz w:val="32"/>
          <w:szCs w:val="32"/>
          <w:lang w:eastAsia="zh-CN"/>
        </w:rPr>
        <w:t>社会保障和就业支出”；“退休人员医疗费”的支出功能由“</w:t>
      </w:r>
      <w:r>
        <w:rPr>
          <w:rFonts w:hint="eastAsia" w:ascii="仿宋_GB2312" w:eastAsia="仿宋_GB2312" w:cs="仿宋_GB2312"/>
          <w:kern w:val="0"/>
          <w:sz w:val="32"/>
          <w:szCs w:val="32"/>
          <w:lang w:val="en-US"/>
        </w:rPr>
        <w:t>210-</w:t>
      </w:r>
      <w:r>
        <w:rPr>
          <w:rFonts w:hint="eastAsia" w:ascii="仿宋_GB2312" w:eastAsia="仿宋_GB2312" w:cs="仿宋_GB2312"/>
          <w:kern w:val="0"/>
          <w:sz w:val="32"/>
          <w:szCs w:val="32"/>
          <w:lang w:eastAsia="zh-CN"/>
        </w:rPr>
        <w:t>卫生健康支出”调整为“</w:t>
      </w:r>
      <w:r>
        <w:rPr>
          <w:rFonts w:hint="eastAsia" w:ascii="仿宋_GB2312" w:eastAsia="仿宋_GB2312" w:cs="仿宋_GB2312"/>
          <w:kern w:val="0"/>
          <w:sz w:val="32"/>
          <w:szCs w:val="32"/>
          <w:lang w:val="en-US"/>
        </w:rPr>
        <w:t>208-</w:t>
      </w:r>
      <w:r>
        <w:rPr>
          <w:rFonts w:hint="eastAsia" w:ascii="仿宋_GB2312" w:eastAsia="仿宋_GB2312" w:cs="仿宋_GB2312"/>
          <w:kern w:val="0"/>
          <w:sz w:val="32"/>
          <w:szCs w:val="32"/>
          <w:lang w:eastAsia="zh-CN"/>
        </w:rPr>
        <w:t>社会保障和就业支出”</w:t>
      </w:r>
      <w:r>
        <w:rPr>
          <w:rFonts w:hint="eastAsia" w:ascii="仿宋_GB2312" w:eastAsia="仿宋_GB2312" w:cs="仿宋_GB2312"/>
          <w:kern w:val="0"/>
          <w:sz w:val="32"/>
          <w:szCs w:val="32"/>
          <w:lang w:val="en-US" w:eastAsia="zh-CN"/>
        </w:rPr>
        <w:t xml:space="preserve">。 </w:t>
      </w:r>
    </w:p>
    <w:p w14:paraId="6E44955F">
      <w:pPr>
        <w:autoSpaceDE w:val="0"/>
        <w:autoSpaceDN w:val="0"/>
        <w:adjustRightInd w:val="0"/>
        <w:spacing w:line="560" w:lineRule="exact"/>
        <w:ind w:firstLine="627" w:firstLineChars="196"/>
        <w:jc w:val="both"/>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卫生健康支出（类）</w:t>
      </w:r>
      <w:r>
        <w:rPr>
          <w:rFonts w:hint="eastAsia" w:ascii="仿宋_GB2312" w:eastAsia="仿宋_GB2312" w:cs="仿宋_GB2312"/>
          <w:kern w:val="0"/>
          <w:sz w:val="32"/>
          <w:szCs w:val="32"/>
          <w:lang w:val="en-US" w:eastAsia="zh-CN"/>
        </w:rPr>
        <w:t>97.92</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val="en-US" w:eastAsia="zh-CN"/>
        </w:rPr>
        <w:t>医疗保险和公务员医疗补助</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减少了23.28</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降低了13.66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事业单位医疗保险提取比例由</w:t>
      </w:r>
      <w:r>
        <w:rPr>
          <w:rFonts w:hint="eastAsia" w:ascii="仿宋_GB2312" w:eastAsia="仿宋_GB2312" w:cs="仿宋_GB2312"/>
          <w:kern w:val="0"/>
          <w:sz w:val="32"/>
          <w:szCs w:val="32"/>
          <w:lang w:val="en-US"/>
        </w:rPr>
        <w:t>9%</w:t>
      </w:r>
      <w:r>
        <w:rPr>
          <w:rFonts w:hint="eastAsia" w:ascii="仿宋_GB2312" w:eastAsia="仿宋_GB2312" w:cs="仿宋_GB2312"/>
          <w:kern w:val="0"/>
          <w:sz w:val="32"/>
          <w:szCs w:val="32"/>
          <w:lang w:eastAsia="zh-CN"/>
        </w:rPr>
        <w:t>降低为</w:t>
      </w:r>
      <w:r>
        <w:rPr>
          <w:rFonts w:hint="eastAsia" w:ascii="仿宋_GB2312" w:eastAsia="仿宋_GB2312" w:cs="仿宋_GB2312"/>
          <w:kern w:val="0"/>
          <w:sz w:val="32"/>
          <w:szCs w:val="32"/>
          <w:lang w:val="en-US"/>
        </w:rPr>
        <w:t>7.4%</w:t>
      </w:r>
      <w:r>
        <w:rPr>
          <w:rFonts w:hint="eastAsia" w:ascii="仿宋_GB2312" w:eastAsia="仿宋_GB2312" w:cs="仿宋_GB2312"/>
          <w:kern w:val="0"/>
          <w:sz w:val="32"/>
          <w:szCs w:val="32"/>
          <w:lang w:eastAsia="zh-CN"/>
        </w:rPr>
        <w:t>以及按照</w:t>
      </w:r>
      <w:r>
        <w:rPr>
          <w:rFonts w:hint="eastAsia" w:ascii="仿宋_GB2312" w:eastAsia="仿宋_GB2312" w:cs="仿宋_GB2312"/>
          <w:kern w:val="0"/>
          <w:sz w:val="32"/>
          <w:szCs w:val="32"/>
          <w:lang w:val="en-US"/>
        </w:rPr>
        <w:t>2025</w:t>
      </w:r>
      <w:r>
        <w:rPr>
          <w:rFonts w:hint="eastAsia" w:ascii="仿宋_GB2312" w:eastAsia="仿宋_GB2312" w:cs="仿宋_GB2312"/>
          <w:kern w:val="0"/>
          <w:sz w:val="32"/>
          <w:szCs w:val="32"/>
          <w:lang w:eastAsia="zh-CN"/>
        </w:rPr>
        <w:t>年新的支出功能分类标准将“退休人员医疗费”的支出功能由“</w:t>
      </w:r>
      <w:r>
        <w:rPr>
          <w:rFonts w:hint="eastAsia" w:ascii="仿宋_GB2312" w:eastAsia="仿宋_GB2312" w:cs="仿宋_GB2312"/>
          <w:kern w:val="0"/>
          <w:sz w:val="32"/>
          <w:szCs w:val="32"/>
          <w:lang w:val="en-US"/>
        </w:rPr>
        <w:t>210-</w:t>
      </w:r>
      <w:r>
        <w:rPr>
          <w:rFonts w:hint="eastAsia" w:ascii="仿宋_GB2312" w:eastAsia="仿宋_GB2312" w:cs="仿宋_GB2312"/>
          <w:kern w:val="0"/>
          <w:sz w:val="32"/>
          <w:szCs w:val="32"/>
          <w:lang w:eastAsia="zh-CN"/>
        </w:rPr>
        <w:t>卫生健康支出”调整为“</w:t>
      </w:r>
      <w:r>
        <w:rPr>
          <w:rFonts w:hint="eastAsia" w:ascii="仿宋_GB2312" w:eastAsia="仿宋_GB2312" w:cs="仿宋_GB2312"/>
          <w:kern w:val="0"/>
          <w:sz w:val="32"/>
          <w:szCs w:val="32"/>
          <w:lang w:val="en-US"/>
        </w:rPr>
        <w:t>208-</w:t>
      </w:r>
      <w:r>
        <w:rPr>
          <w:rFonts w:hint="eastAsia" w:ascii="仿宋_GB2312" w:eastAsia="仿宋_GB2312" w:cs="仿宋_GB2312"/>
          <w:kern w:val="0"/>
          <w:sz w:val="32"/>
          <w:szCs w:val="32"/>
          <w:lang w:eastAsia="zh-CN"/>
        </w:rPr>
        <w:t>社会保障和就业支出”</w:t>
      </w:r>
      <w:r>
        <w:rPr>
          <w:rFonts w:hint="eastAsia" w:ascii="仿宋_GB2312" w:eastAsia="仿宋_GB2312" w:cs="仿宋_GB2312"/>
          <w:kern w:val="0"/>
          <w:sz w:val="32"/>
          <w:szCs w:val="32"/>
        </w:rPr>
        <w:t xml:space="preserve">。 </w:t>
      </w:r>
    </w:p>
    <w:p w14:paraId="0376E71D">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bCs/>
          <w:kern w:val="0"/>
          <w:sz w:val="32"/>
          <w:szCs w:val="32"/>
        </w:rPr>
        <w:t>4</w:t>
      </w:r>
      <w:r>
        <w:rPr>
          <w:rFonts w:hint="eastAsia" w:ascii="仿宋_GB2312" w:eastAsia="仿宋_GB2312" w:cs="仿宋_GB2312"/>
          <w:kern w:val="0"/>
          <w:sz w:val="32"/>
          <w:szCs w:val="32"/>
        </w:rPr>
        <w:t>.住房保障支出（类）</w:t>
      </w:r>
      <w:r>
        <w:rPr>
          <w:rFonts w:hint="eastAsia" w:ascii="仿宋_GB2312" w:eastAsia="仿宋_GB2312" w:cs="仿宋_GB2312"/>
          <w:kern w:val="0"/>
          <w:sz w:val="32"/>
          <w:szCs w:val="32"/>
          <w:lang w:val="en-US" w:eastAsia="zh-CN"/>
        </w:rPr>
        <w:t>94.76万元，主要用于</w:t>
      </w:r>
      <w:r>
        <w:rPr>
          <w:rFonts w:hint="eastAsia" w:ascii="仿宋_GB2312" w:eastAsia="仿宋_GB2312" w:cs="仿宋_GB2312"/>
          <w:kern w:val="0"/>
          <w:sz w:val="32"/>
          <w:szCs w:val="32"/>
        </w:rPr>
        <w:t>按照国家政策规定为职工缴纳的住房公积金等住房改革方面的支出</w:t>
      </w:r>
      <w:r>
        <w:rPr>
          <w:rFonts w:hint="eastAsia" w:ascii="仿宋_GB2312" w:eastAsia="仿宋_GB2312" w:cs="仿宋_GB2312"/>
          <w:kern w:val="0"/>
          <w:sz w:val="32"/>
          <w:szCs w:val="32"/>
          <w:lang w:val="en-US"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增加了</w:t>
      </w:r>
      <w:r>
        <w:rPr>
          <w:rFonts w:hint="eastAsia" w:ascii="仿宋_GB2312" w:hAnsi="黑体" w:eastAsia="仿宋_GB2312" w:cs="仿宋_GB2312"/>
          <w:kern w:val="0"/>
          <w:sz w:val="32"/>
          <w:szCs w:val="32"/>
          <w:lang w:val="en-US" w:eastAsia="zh-CN"/>
        </w:rPr>
        <w:t>19.00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eastAsia="zh-CN"/>
        </w:rPr>
        <w:t>了</w:t>
      </w:r>
      <w:r>
        <w:rPr>
          <w:rFonts w:hint="eastAsia" w:ascii="仿宋_GB2312" w:hAnsi="黑体" w:eastAsia="仿宋_GB2312" w:cs="仿宋_GB2312"/>
          <w:kern w:val="0"/>
          <w:sz w:val="32"/>
          <w:szCs w:val="32"/>
          <w:lang w:val="en-US" w:eastAsia="zh-CN"/>
        </w:rPr>
        <w:t>25.08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在职在编人数增加后住房公积金相应增加</w:t>
      </w:r>
      <w:r>
        <w:rPr>
          <w:rFonts w:hint="eastAsia" w:ascii="仿宋_GB2312" w:hAnsi="黑体" w:eastAsia="仿宋_GB2312" w:cs="仿宋_GB2312"/>
          <w:kern w:val="0"/>
          <w:sz w:val="32"/>
          <w:szCs w:val="32"/>
        </w:rPr>
        <w:t>。</w:t>
      </w:r>
    </w:p>
    <w:p w14:paraId="331448EB">
      <w:pPr>
        <w:autoSpaceDE w:val="0"/>
        <w:autoSpaceDN w:val="0"/>
        <w:adjustRightInd w:val="0"/>
        <w:spacing w:line="560" w:lineRule="exact"/>
        <w:ind w:firstLine="627" w:firstLineChars="196"/>
        <w:jc w:val="both"/>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.年末结转和结余</w:t>
      </w:r>
      <w:r>
        <w:rPr>
          <w:rFonts w:hint="eastAsia" w:ascii="仿宋_GB2312" w:eastAsia="仿宋_GB2312" w:cs="仿宋_GB2312"/>
          <w:kern w:val="0"/>
          <w:sz w:val="32"/>
          <w:szCs w:val="32"/>
          <w:lang w:val="en-US" w:eastAsia="zh-CN"/>
        </w:rPr>
        <w:t>1000.00</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增加了</w:t>
      </w:r>
      <w:r>
        <w:rPr>
          <w:rFonts w:hint="eastAsia" w:ascii="仿宋_GB2312" w:hAnsi="黑体" w:eastAsia="仿宋_GB2312" w:cs="仿宋_GB2312"/>
          <w:kern w:val="0"/>
          <w:sz w:val="32"/>
          <w:szCs w:val="32"/>
          <w:lang w:val="en-US" w:eastAsia="zh-CN"/>
        </w:rPr>
        <w:t>151.75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eastAsia="zh-CN"/>
        </w:rPr>
        <w:t>了</w:t>
      </w:r>
      <w:r>
        <w:rPr>
          <w:rFonts w:hint="eastAsia" w:ascii="仿宋_GB2312" w:hAnsi="黑体" w:eastAsia="仿宋_GB2312" w:cs="仿宋_GB2312"/>
          <w:kern w:val="0"/>
          <w:sz w:val="32"/>
          <w:szCs w:val="32"/>
          <w:lang w:val="en-US" w:eastAsia="zh-CN"/>
        </w:rPr>
        <w:t>17.89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基建项目资金尚未使用完</w:t>
      </w:r>
      <w:r>
        <w:rPr>
          <w:rFonts w:hint="eastAsia" w:ascii="仿宋_GB2312" w:hAnsi="黑体" w:eastAsia="仿宋_GB2312" w:cs="仿宋_GB2312"/>
          <w:kern w:val="0"/>
          <w:sz w:val="32"/>
          <w:szCs w:val="32"/>
        </w:rPr>
        <w:t>。</w:t>
      </w:r>
    </w:p>
    <w:p w14:paraId="730731F1">
      <w:pPr>
        <w:autoSpaceDE w:val="0"/>
        <w:autoSpaceDN w:val="0"/>
        <w:adjustRightInd w:val="0"/>
        <w:spacing w:line="560" w:lineRule="exact"/>
        <w:ind w:firstLine="640" w:firstLineChars="200"/>
        <w:jc w:val="both"/>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2025</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650D6FA4">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both"/>
        <w:textAlignment w:val="auto"/>
        <w:rPr>
          <w:rFonts w:hint="eastAsia" w:ascii="仿宋_GB2312" w:eastAsia="仿宋_GB2312" w:cs="仿宋_GB2312"/>
          <w:kern w:val="0"/>
          <w:sz w:val="32"/>
          <w:szCs w:val="32"/>
        </w:rPr>
      </w:pPr>
      <w:r>
        <w:rPr>
          <w:rFonts w:hint="eastAsia" w:ascii="仿宋_GB2312" w:hAnsi="Times New Roman" w:eastAsia="仿宋_GB2312" w:cs="Times New Roman"/>
          <w:sz w:val="32"/>
          <w:szCs w:val="32"/>
          <w:lang w:val="en-US" w:eastAsia="zh-CN"/>
        </w:rPr>
        <w:t>广西师范大学附属中学</w:t>
      </w:r>
      <w:r>
        <w:rPr>
          <w:rFonts w:hint="eastAsia" w:ascii="仿宋_GB2312" w:eastAsia="仿宋_GB2312"/>
          <w:kern w:val="0"/>
          <w:sz w:val="32"/>
          <w:szCs w:val="32"/>
          <w:lang w:eastAsia="zh-CN"/>
        </w:rPr>
        <w:t>2025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kern w:val="0"/>
          <w:sz w:val="32"/>
          <w:szCs w:val="32"/>
          <w:lang w:val="en-US" w:eastAsia="zh-CN"/>
        </w:rPr>
        <w:t>3202.56</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2024</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减少了3101.82</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降低了49.20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cs="仿宋_GB2312"/>
          <w:kern w:val="0"/>
          <w:sz w:val="32"/>
          <w:szCs w:val="32"/>
          <w:lang w:val="en-US" w:eastAsia="zh-CN"/>
        </w:rPr>
        <w:t>1516.07</w:t>
      </w:r>
      <w:r>
        <w:rPr>
          <w:rFonts w:hint="eastAsia" w:ascii="仿宋_GB2312" w:eastAsia="仿宋_GB2312" w:cs="仿宋_GB2312"/>
          <w:kern w:val="0"/>
          <w:sz w:val="32"/>
          <w:szCs w:val="32"/>
        </w:rPr>
        <w:t>万元，项目支出</w:t>
      </w:r>
      <w:r>
        <w:rPr>
          <w:rFonts w:hint="eastAsia" w:ascii="仿宋_GB2312" w:eastAsia="仿宋_GB2312" w:cs="仿宋_GB2312"/>
          <w:kern w:val="0"/>
          <w:sz w:val="32"/>
          <w:szCs w:val="32"/>
          <w:lang w:val="en-US" w:eastAsia="zh-CN"/>
        </w:rPr>
        <w:t>1686.49</w:t>
      </w:r>
      <w:r>
        <w:rPr>
          <w:rFonts w:hint="eastAsia" w:ascii="仿宋_GB2312" w:eastAsia="仿宋_GB2312" w:cs="仿宋_GB2312"/>
          <w:kern w:val="0"/>
          <w:sz w:val="32"/>
          <w:szCs w:val="32"/>
        </w:rPr>
        <w:t>万元。</w:t>
      </w:r>
    </w:p>
    <w:p w14:paraId="0F8431B7">
      <w:pPr>
        <w:keepNext w:val="0"/>
        <w:keepLines w:val="0"/>
        <w:pageBreakBefore w:val="0"/>
        <w:widowControl w:val="0"/>
        <w:kinsoku/>
        <w:wordWrap/>
        <w:overflowPunct/>
        <w:topLinePunct w:val="0"/>
        <w:autoSpaceDE w:val="0"/>
        <w:autoSpaceDN w:val="0"/>
        <w:bidi w:val="0"/>
        <w:adjustRightInd w:val="0"/>
        <w:spacing w:line="560" w:lineRule="exact"/>
        <w:ind w:firstLine="627" w:firstLineChars="196"/>
        <w:jc w:val="both"/>
        <w:textAlignment w:val="auto"/>
        <w:rPr>
          <w:rFonts w:hint="eastAsia" w:ascii="仿宋_GB2312" w:hAnsi="黑体" w:eastAsia="仿宋_GB2312" w:cs="仿宋_GB2312"/>
          <w:kern w:val="0"/>
          <w:sz w:val="32"/>
          <w:szCs w:val="32"/>
        </w:rPr>
      </w:pPr>
      <w:r>
        <w:rPr>
          <w:rFonts w:hint="eastAsia" w:ascii="仿宋_GB2312" w:hAnsi="Times New Roman" w:eastAsia="仿宋_GB2312" w:cs="Times New Roman"/>
          <w:sz w:val="32"/>
          <w:szCs w:val="32"/>
          <w:lang w:val="en-US" w:eastAsia="zh-CN"/>
        </w:rPr>
        <w:t>广西师范大学附属中学</w:t>
      </w:r>
      <w:r>
        <w:rPr>
          <w:rFonts w:hint="eastAsia" w:ascii="仿宋_GB2312" w:hAnsi="黑体" w:eastAsia="仿宋_GB2312"/>
          <w:kern w:val="0"/>
          <w:sz w:val="32"/>
          <w:szCs w:val="32"/>
          <w:lang w:eastAsia="zh-CN"/>
        </w:rPr>
        <w:t>2025</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2799.41</w:t>
      </w:r>
      <w:r>
        <w:rPr>
          <w:rFonts w:hint="eastAsia" w:ascii="仿宋_GB2312" w:hAnsi="黑体" w:eastAsia="仿宋_GB2312" w:cs="仿宋_GB2312"/>
          <w:kern w:val="0"/>
          <w:sz w:val="32"/>
          <w:szCs w:val="32"/>
        </w:rPr>
        <w:t>万元，支出决算为</w:t>
      </w:r>
      <w:r>
        <w:rPr>
          <w:rFonts w:hint="eastAsia" w:ascii="仿宋_GB2312" w:eastAsia="仿宋_GB2312" w:cs="仿宋_GB2312"/>
          <w:kern w:val="0"/>
          <w:sz w:val="32"/>
          <w:szCs w:val="32"/>
          <w:lang w:val="en-US" w:eastAsia="zh-CN"/>
        </w:rPr>
        <w:t>3202.56</w:t>
      </w:r>
      <w:r>
        <w:rPr>
          <w:rFonts w:hint="eastAsia" w:ascii="仿宋_GB2312" w:hAnsi="黑体"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114.4</w:t>
      </w:r>
      <w:r>
        <w:rPr>
          <w:rFonts w:hint="eastAsia" w:ascii="仿宋_GB2312" w:hAnsi="黑体" w:eastAsia="仿宋_GB2312" w:cs="仿宋_GB2312"/>
          <w:kern w:val="0"/>
          <w:sz w:val="32"/>
          <w:szCs w:val="32"/>
        </w:rPr>
        <w:t>%。</w:t>
      </w:r>
    </w:p>
    <w:p w14:paraId="625E48A2">
      <w:pPr>
        <w:keepNext w:val="0"/>
        <w:keepLines w:val="0"/>
        <w:pageBreakBefore w:val="0"/>
        <w:widowControl w:val="0"/>
        <w:numPr>
          <w:ilvl w:val="0"/>
          <w:numId w:val="1"/>
        </w:numPr>
        <w:kinsoku/>
        <w:wordWrap/>
        <w:overflowPunct/>
        <w:topLinePunct w:val="0"/>
        <w:autoSpaceDE w:val="0"/>
        <w:autoSpaceDN w:val="0"/>
        <w:bidi w:val="0"/>
        <w:adjustRightInd w:val="0"/>
        <w:spacing w:line="560" w:lineRule="exact"/>
        <w:ind w:firstLine="627" w:firstLineChars="196"/>
        <w:jc w:val="both"/>
        <w:textAlignment w:val="auto"/>
        <w:rPr>
          <w:rFonts w:hint="eastAsia" w:ascii="仿宋_GB2312" w:hAnsi="黑体" w:eastAsia="仿宋_GB2312" w:cs="仿宋_GB2312"/>
          <w:kern w:val="0"/>
          <w:sz w:val="32"/>
          <w:szCs w:val="32"/>
          <w:lang w:val="en-US" w:eastAsia="zh-CN"/>
        </w:rPr>
      </w:pPr>
      <w:r>
        <w:rPr>
          <w:rFonts w:hint="eastAsia" w:ascii="仿宋_GB2312" w:eastAsia="仿宋_GB2312" w:cs="仿宋_GB2312"/>
          <w:kern w:val="0"/>
          <w:sz w:val="32"/>
          <w:szCs w:val="32"/>
        </w:rPr>
        <w:t>教育支出（类）</w:t>
      </w:r>
      <w:r>
        <w:rPr>
          <w:rFonts w:hint="eastAsia" w:ascii="仿宋_GB2312" w:hAnsi="黑体" w:eastAsia="仿宋_GB2312" w:cs="仿宋_GB2312"/>
          <w:kern w:val="0"/>
          <w:sz w:val="32"/>
          <w:szCs w:val="32"/>
        </w:rPr>
        <w:t>年初预算</w:t>
      </w:r>
      <w:r>
        <w:rPr>
          <w:rFonts w:hint="eastAsia" w:ascii="仿宋_GB2312" w:hAnsi="黑体" w:eastAsia="仿宋_GB2312" w:cs="仿宋_GB2312"/>
          <w:kern w:val="0"/>
          <w:sz w:val="32"/>
          <w:szCs w:val="32"/>
          <w:lang w:val="en-US" w:eastAsia="zh-CN"/>
        </w:rPr>
        <w:t>2560.63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2828.84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110.47</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主要用于开展高等教育事业的各项支出。其中：</w:t>
      </w:r>
    </w:p>
    <w:p w14:paraId="7303257C">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jc w:val="both"/>
        <w:textAlignment w:val="auto"/>
        <w:rPr>
          <w:rFonts w:hint="default"/>
          <w:lang w:val="en-US" w:eastAsia="zh-CN"/>
        </w:rPr>
      </w:pPr>
      <w:r>
        <w:rPr>
          <w:rFonts w:hint="eastAsia" w:ascii="仿宋_GB2312" w:hAnsi="黑体" w:eastAsia="仿宋_GB2312" w:cs="仿宋_GB2312"/>
          <w:kern w:val="0"/>
          <w:sz w:val="32"/>
          <w:szCs w:val="32"/>
          <w:lang w:val="en-US" w:eastAsia="zh-CN"/>
        </w:rPr>
        <w:t>1.初中教育（项）：年初预算120.60万元，支出决算63.08万元，预决算差异的主要原因是本年度财政部门统筹收回本单位预算指标城乡义务教育公用经费57.00万元和城乡义务教育阶段家庭经济困难学生生活补助0.52万元，单位可用经费额度相应减少。</w:t>
      </w:r>
    </w:p>
    <w:p w14:paraId="2053FDBC">
      <w:pPr>
        <w:keepNext w:val="0"/>
        <w:keepLines w:val="0"/>
        <w:pageBreakBefore w:val="0"/>
        <w:widowControl w:val="0"/>
        <w:numPr>
          <w:ilvl w:val="0"/>
          <w:numId w:val="0"/>
        </w:numPr>
        <w:kinsoku/>
        <w:wordWrap/>
        <w:overflowPunct/>
        <w:topLinePunct w:val="0"/>
        <w:autoSpaceDE w:val="0"/>
        <w:autoSpaceDN w:val="0"/>
        <w:bidi w:val="0"/>
        <w:adjustRightInd w:val="0"/>
        <w:spacing w:line="560" w:lineRule="exact"/>
        <w:ind w:firstLine="640" w:firstLineChars="200"/>
        <w:jc w:val="both"/>
        <w:textAlignment w:val="auto"/>
        <w:rPr>
          <w:rFonts w:hint="default" w:ascii="仿宋_GB2312" w:eastAsia="仿宋_GB2312" w:cs="仿宋_GB2312"/>
          <w:kern w:val="0"/>
          <w:sz w:val="32"/>
          <w:szCs w:val="32"/>
          <w:highlight w:val="none"/>
          <w:lang w:val="en-US" w:eastAsia="zh-CN"/>
        </w:rPr>
      </w:pPr>
      <w:r>
        <w:rPr>
          <w:rFonts w:hint="eastAsia" w:ascii="仿宋_GB2312" w:hAnsi="黑体" w:eastAsia="仿宋_GB2312" w:cs="仿宋_GB2312"/>
          <w:kern w:val="0"/>
          <w:sz w:val="32"/>
          <w:szCs w:val="32"/>
          <w:lang w:val="en-US" w:eastAsia="zh-CN"/>
        </w:rPr>
        <w:t>2.高中教育（项）：年初预算2440.03万元，支出决算2765.76万元，预决算差异的主要</w:t>
      </w:r>
      <w:r>
        <w:rPr>
          <w:rFonts w:hint="eastAsia" w:ascii="仿宋_GB2312" w:hAnsi="黑体" w:eastAsia="仿宋_GB2312" w:cs="仿宋_GB2312"/>
          <w:kern w:val="0"/>
          <w:sz w:val="32"/>
          <w:szCs w:val="32"/>
          <w:highlight w:val="none"/>
          <w:lang w:val="en-US" w:eastAsia="zh-CN"/>
        </w:rPr>
        <w:t>是广西师范大学附属中学改扩建和提升项目支出增加</w:t>
      </w:r>
      <w:r>
        <w:rPr>
          <w:rFonts w:hint="eastAsia" w:ascii="仿宋_GB2312" w:eastAsia="仿宋_GB2312" w:cs="仿宋_GB2312"/>
          <w:kern w:val="0"/>
          <w:sz w:val="32"/>
          <w:szCs w:val="32"/>
          <w:highlight w:val="none"/>
          <w:lang w:val="en-US" w:eastAsia="zh-CN"/>
        </w:rPr>
        <w:t>。</w:t>
      </w:r>
      <w:bookmarkStart w:id="0" w:name="_GoBack"/>
      <w:bookmarkEnd w:id="0"/>
    </w:p>
    <w:p w14:paraId="4994A0DB">
      <w:pPr>
        <w:keepNext w:val="0"/>
        <w:keepLines w:val="0"/>
        <w:pageBreakBefore w:val="0"/>
        <w:widowControl w:val="0"/>
        <w:kinsoku/>
        <w:wordWrap/>
        <w:overflowPunct/>
        <w:topLinePunct w:val="0"/>
        <w:autoSpaceDE w:val="0"/>
        <w:autoSpaceDN w:val="0"/>
        <w:bidi w:val="0"/>
        <w:adjustRightInd w:val="0"/>
        <w:spacing w:line="560" w:lineRule="exact"/>
        <w:ind w:firstLine="627" w:firstLineChars="196"/>
        <w:jc w:val="both"/>
        <w:textAlignment w:val="auto"/>
        <w:rPr>
          <w:rFonts w:hint="eastAsia" w:ascii="仿宋_GB2312" w:hAnsi="黑体" w:eastAsia="仿宋_GB2312" w:cs="仿宋_GB2312"/>
          <w:kern w:val="0"/>
          <w:sz w:val="32"/>
          <w:szCs w:val="32"/>
          <w:highlight w:val="none"/>
          <w:lang w:val="en-US" w:eastAsia="zh-CN"/>
        </w:rPr>
      </w:pP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val="en-US" w:eastAsia="zh-CN"/>
        </w:rPr>
        <w:t>二</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社会保障和就业支出（类）</w:t>
      </w:r>
      <w:r>
        <w:rPr>
          <w:rFonts w:hint="eastAsia" w:ascii="仿宋_GB2312" w:hAnsi="黑体" w:eastAsia="仿宋_GB2312" w:cs="仿宋_GB2312"/>
          <w:kern w:val="0"/>
          <w:sz w:val="32"/>
          <w:szCs w:val="32"/>
          <w:highlight w:val="none"/>
        </w:rPr>
        <w:t>年初预算</w:t>
      </w:r>
      <w:r>
        <w:rPr>
          <w:rFonts w:hint="eastAsia" w:ascii="仿宋_GB2312" w:hAnsi="黑体" w:eastAsia="仿宋_GB2312" w:cs="仿宋_GB2312"/>
          <w:kern w:val="0"/>
          <w:sz w:val="32"/>
          <w:szCs w:val="32"/>
          <w:highlight w:val="none"/>
          <w:lang w:val="en-US" w:eastAsia="zh-CN"/>
        </w:rPr>
        <w:t>122.35</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172.36</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140.87</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val="en-US" w:eastAsia="zh-CN"/>
        </w:rPr>
        <w:t>主要用于事业单位离退休和机关事业单位基本养老保险缴费支出。其中：</w:t>
      </w:r>
    </w:p>
    <w:p w14:paraId="2E27F2CD">
      <w:pPr>
        <w:pStyle w:val="2"/>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highlight w:val="none"/>
          <w:lang w:val="en-US" w:eastAsia="zh-CN"/>
        </w:rPr>
        <w:t>1.事业单位离退休（项）：年初预算46.01万元，支出决算46.01万元，</w:t>
      </w:r>
      <w:r>
        <w:rPr>
          <w:rFonts w:hint="eastAsia" w:ascii="仿宋_GB2312" w:hAnsi="黑体" w:eastAsia="仿宋_GB2312" w:cs="仿宋_GB2312"/>
          <w:kern w:val="0"/>
          <w:sz w:val="32"/>
          <w:szCs w:val="32"/>
          <w:lang w:val="en-US" w:eastAsia="zh-CN"/>
        </w:rPr>
        <w:t>预决算无差异；</w:t>
      </w:r>
    </w:p>
    <w:p w14:paraId="6AFD41DB">
      <w:pPr>
        <w:keepNext w:val="0"/>
        <w:keepLines w:val="0"/>
        <w:pageBreakBefore w:val="0"/>
        <w:widowControl w:val="0"/>
        <w:kinsoku/>
        <w:wordWrap/>
        <w:overflowPunct/>
        <w:topLinePunct w:val="0"/>
        <w:autoSpaceDE w:val="0"/>
        <w:autoSpaceDN w:val="0"/>
        <w:bidi w:val="0"/>
        <w:adjustRightInd w:val="0"/>
        <w:spacing w:line="560" w:lineRule="exact"/>
        <w:ind w:firstLine="627" w:firstLineChars="196"/>
        <w:jc w:val="both"/>
        <w:textAlignment w:val="auto"/>
        <w:rPr>
          <w:rFonts w:hint="default"/>
          <w:lang w:val="en-US" w:eastAsia="zh-CN"/>
        </w:rPr>
      </w:pPr>
      <w:r>
        <w:rPr>
          <w:rFonts w:hint="eastAsia" w:ascii="仿宋_GB2312" w:hAnsi="黑体" w:eastAsia="仿宋_GB2312" w:cs="仿宋_GB2312"/>
          <w:kern w:val="0"/>
          <w:sz w:val="32"/>
          <w:szCs w:val="32"/>
          <w:highlight w:val="none"/>
          <w:lang w:val="en-US" w:eastAsia="zh-CN"/>
        </w:rPr>
        <w:t>2.</w:t>
      </w:r>
      <w:r>
        <w:rPr>
          <w:rFonts w:hint="default" w:ascii="仿宋_GB2312" w:hAnsi="黑体" w:eastAsia="仿宋_GB2312" w:cs="仿宋_GB2312"/>
          <w:kern w:val="0"/>
          <w:sz w:val="32"/>
          <w:szCs w:val="32"/>
          <w:highlight w:val="none"/>
          <w:lang w:val="en-US" w:eastAsia="zh-CN"/>
        </w:rPr>
        <w:t>机关事业单位基本养老保险缴费支出</w:t>
      </w:r>
      <w:r>
        <w:rPr>
          <w:rFonts w:hint="eastAsia" w:ascii="仿宋_GB2312" w:hAnsi="黑体" w:eastAsia="仿宋_GB2312" w:cs="仿宋_GB2312"/>
          <w:kern w:val="0"/>
          <w:sz w:val="32"/>
          <w:szCs w:val="32"/>
          <w:highlight w:val="none"/>
          <w:lang w:val="en-US" w:eastAsia="zh-CN"/>
        </w:rPr>
        <w:t>（项）：年初预算76.34万元，支出决算126.35万元，</w:t>
      </w:r>
      <w:r>
        <w:rPr>
          <w:rFonts w:hint="eastAsia" w:ascii="仿宋_GB2312" w:hAnsi="黑体" w:eastAsia="仿宋_GB2312" w:cs="仿宋_GB2312"/>
          <w:kern w:val="0"/>
          <w:sz w:val="32"/>
          <w:szCs w:val="32"/>
          <w:lang w:val="en-US" w:eastAsia="zh-CN"/>
        </w:rPr>
        <w:t>预决算差异的主要</w:t>
      </w:r>
      <w:r>
        <w:rPr>
          <w:rFonts w:hint="eastAsia" w:ascii="仿宋_GB2312" w:hAnsi="黑体" w:eastAsia="仿宋_GB2312" w:cs="仿宋_GB2312"/>
          <w:kern w:val="0"/>
          <w:sz w:val="32"/>
          <w:szCs w:val="32"/>
          <w:highlight w:val="none"/>
          <w:lang w:val="en-US" w:eastAsia="zh-CN"/>
        </w:rPr>
        <w:t>是增人增资年末追加，</w:t>
      </w:r>
      <w:r>
        <w:rPr>
          <w:rFonts w:hint="eastAsia" w:ascii="仿宋_GB2312" w:eastAsia="仿宋_GB2312" w:cs="仿宋_GB2312"/>
          <w:kern w:val="0"/>
          <w:sz w:val="32"/>
          <w:szCs w:val="32"/>
          <w:highlight w:val="none"/>
        </w:rPr>
        <w:t>主要用</w:t>
      </w:r>
      <w:r>
        <w:rPr>
          <w:rFonts w:hint="eastAsia" w:ascii="仿宋_GB2312" w:eastAsia="仿宋_GB2312" w:cs="仿宋_GB2312"/>
          <w:kern w:val="0"/>
          <w:sz w:val="32"/>
          <w:szCs w:val="32"/>
          <w:highlight w:val="none"/>
          <w:lang w:val="en-US" w:eastAsia="zh-CN"/>
        </w:rPr>
        <w:t>于在职在编人员养老保险和职业年金。</w:t>
      </w:r>
    </w:p>
    <w:p w14:paraId="40343C51">
      <w:pPr>
        <w:pStyle w:val="2"/>
        <w:keepNext w:val="0"/>
        <w:keepLines w:val="0"/>
        <w:pageBreakBefore w:val="0"/>
        <w:widowControl w:val="0"/>
        <w:kinsoku/>
        <w:wordWrap/>
        <w:overflowPunct/>
        <w:topLinePunct w:val="0"/>
        <w:bidi w:val="0"/>
        <w:spacing w:line="560" w:lineRule="exact"/>
        <w:ind w:firstLine="640" w:firstLineChars="200"/>
        <w:textAlignment w:val="auto"/>
        <w:rPr>
          <w:rFonts w:hint="default" w:ascii="仿宋_GB2312" w:hAnsi="黑体" w:eastAsia="仿宋_GB2312" w:cs="仿宋_GB2312"/>
          <w:kern w:val="0"/>
          <w:sz w:val="32"/>
          <w:szCs w:val="32"/>
          <w:highlight w:val="none"/>
          <w:lang w:val="en-US" w:eastAsia="zh-CN"/>
        </w:rPr>
      </w:pPr>
      <w:r>
        <w:rPr>
          <w:rFonts w:hint="eastAsia" w:ascii="仿宋_GB2312" w:hAnsi="黑体" w:eastAsia="仿宋_GB2312" w:cs="仿宋_GB2312"/>
          <w:kern w:val="0"/>
          <w:sz w:val="32"/>
          <w:szCs w:val="32"/>
          <w:highlight w:val="none"/>
          <w:lang w:val="en-US" w:eastAsia="zh-CN"/>
        </w:rPr>
        <w:t>（三）死亡抚恤（类）：年初预算0万元，支出决算8.68万元，</w:t>
      </w:r>
      <w:r>
        <w:rPr>
          <w:rFonts w:hint="eastAsia" w:ascii="仿宋_GB2312" w:hAnsi="黑体" w:eastAsia="仿宋_GB2312" w:cs="仿宋_GB2312"/>
          <w:kern w:val="0"/>
          <w:sz w:val="32"/>
          <w:szCs w:val="32"/>
          <w:lang w:val="en-US" w:eastAsia="zh-CN"/>
        </w:rPr>
        <w:t>预决算差异的主要</w:t>
      </w:r>
      <w:r>
        <w:rPr>
          <w:rFonts w:hint="eastAsia" w:ascii="仿宋_GB2312" w:hAnsi="黑体" w:eastAsia="仿宋_GB2312" w:cs="仿宋_GB2312"/>
          <w:kern w:val="0"/>
          <w:sz w:val="32"/>
          <w:szCs w:val="32"/>
          <w:highlight w:val="none"/>
          <w:lang w:val="en-US" w:eastAsia="zh-CN"/>
        </w:rPr>
        <w:t>是人员死亡抚恤。</w:t>
      </w:r>
    </w:p>
    <w:p w14:paraId="4EEF393A">
      <w:pPr>
        <w:keepNext w:val="0"/>
        <w:keepLines w:val="0"/>
        <w:pageBreakBefore w:val="0"/>
        <w:widowControl w:val="0"/>
        <w:kinsoku/>
        <w:wordWrap/>
        <w:overflowPunct/>
        <w:topLinePunct w:val="0"/>
        <w:autoSpaceDE w:val="0"/>
        <w:autoSpaceDN w:val="0"/>
        <w:bidi w:val="0"/>
        <w:adjustRightInd w:val="0"/>
        <w:spacing w:line="560" w:lineRule="exact"/>
        <w:ind w:firstLine="627" w:firstLineChars="196"/>
        <w:jc w:val="both"/>
        <w:textAlignment w:val="auto"/>
        <w:rPr>
          <w:rFonts w:hint="default" w:ascii="仿宋_GB2312" w:hAnsi="黑体" w:eastAsia="仿宋_GB2312" w:cs="仿宋_GB2312"/>
          <w:kern w:val="0"/>
          <w:sz w:val="32"/>
          <w:szCs w:val="32"/>
          <w:highlight w:val="none"/>
          <w:lang w:val="en-US" w:eastAsia="zh-CN"/>
        </w:rPr>
      </w:pP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val="en-US" w:eastAsia="zh-CN"/>
        </w:rPr>
        <w:t>四</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卫生健康支出（类）</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59.17</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97.93</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165.51</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val="en-US" w:eastAsia="zh-CN"/>
        </w:rPr>
        <w:t>主要用于人员医疗支出。</w:t>
      </w:r>
    </w:p>
    <w:p w14:paraId="1F42FF89">
      <w:pPr>
        <w:pStyle w:val="2"/>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highlight w:val="none"/>
          <w:lang w:val="en-US" w:eastAsia="zh-CN"/>
        </w:rPr>
        <w:t>1.事业单位医疗（项）：年初预算35.31万元，支出决算58.44万元，</w:t>
      </w:r>
      <w:r>
        <w:rPr>
          <w:rFonts w:hint="eastAsia" w:ascii="仿宋_GB2312" w:hAnsi="黑体" w:eastAsia="仿宋_GB2312" w:cs="仿宋_GB2312"/>
          <w:kern w:val="0"/>
          <w:sz w:val="32"/>
          <w:szCs w:val="32"/>
          <w:lang w:val="en-US" w:eastAsia="zh-CN"/>
        </w:rPr>
        <w:t>预决算差异的主要</w:t>
      </w:r>
      <w:r>
        <w:rPr>
          <w:rFonts w:hint="eastAsia" w:ascii="仿宋_GB2312" w:hAnsi="黑体" w:eastAsia="仿宋_GB2312" w:cs="仿宋_GB2312"/>
          <w:kern w:val="0"/>
          <w:sz w:val="32"/>
          <w:szCs w:val="32"/>
          <w:highlight w:val="none"/>
          <w:lang w:val="en-US" w:eastAsia="zh-CN"/>
        </w:rPr>
        <w:t>是增人增资年末追加，</w:t>
      </w:r>
      <w:r>
        <w:rPr>
          <w:rFonts w:hint="eastAsia" w:ascii="仿宋_GB2312" w:eastAsia="仿宋_GB2312" w:cs="仿宋_GB2312"/>
          <w:kern w:val="0"/>
          <w:sz w:val="32"/>
          <w:szCs w:val="32"/>
          <w:highlight w:val="none"/>
        </w:rPr>
        <w:t>主要用</w:t>
      </w:r>
      <w:r>
        <w:rPr>
          <w:rFonts w:hint="eastAsia" w:ascii="仿宋_GB2312" w:eastAsia="仿宋_GB2312" w:cs="仿宋_GB2312"/>
          <w:kern w:val="0"/>
          <w:sz w:val="32"/>
          <w:szCs w:val="32"/>
          <w:highlight w:val="none"/>
          <w:lang w:val="en-US" w:eastAsia="zh-CN"/>
        </w:rPr>
        <w:t>于在职在编人员医疗保险和公务员医疗补助</w:t>
      </w:r>
      <w:r>
        <w:rPr>
          <w:rFonts w:hint="eastAsia" w:ascii="仿宋_GB2312" w:hAnsi="黑体" w:eastAsia="仿宋_GB2312" w:cs="仿宋_GB2312"/>
          <w:kern w:val="0"/>
          <w:sz w:val="32"/>
          <w:szCs w:val="32"/>
          <w:lang w:val="en-US" w:eastAsia="zh-CN"/>
        </w:rPr>
        <w:t>；</w:t>
      </w:r>
    </w:p>
    <w:p w14:paraId="4C45894B">
      <w:pPr>
        <w:pStyle w:val="2"/>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highlight w:val="none"/>
          <w:lang w:val="en-US" w:eastAsia="zh-CN"/>
        </w:rPr>
        <w:t>2.公务员医疗补助（项）：年初预算23.86万元，支出决算39.49万元，</w:t>
      </w:r>
      <w:r>
        <w:rPr>
          <w:rFonts w:hint="eastAsia" w:ascii="仿宋_GB2312" w:hAnsi="黑体" w:eastAsia="仿宋_GB2312" w:cs="仿宋_GB2312"/>
          <w:kern w:val="0"/>
          <w:sz w:val="32"/>
          <w:szCs w:val="32"/>
          <w:lang w:val="en-US" w:eastAsia="zh-CN"/>
        </w:rPr>
        <w:t>预决算差异的主要</w:t>
      </w:r>
      <w:r>
        <w:rPr>
          <w:rFonts w:hint="eastAsia" w:ascii="仿宋_GB2312" w:hAnsi="黑体" w:eastAsia="仿宋_GB2312" w:cs="仿宋_GB2312"/>
          <w:kern w:val="0"/>
          <w:sz w:val="32"/>
          <w:szCs w:val="32"/>
          <w:highlight w:val="none"/>
          <w:lang w:val="en-US" w:eastAsia="zh-CN"/>
        </w:rPr>
        <w:t>是增人增资年末追加，</w:t>
      </w:r>
      <w:r>
        <w:rPr>
          <w:rFonts w:hint="eastAsia" w:ascii="仿宋_GB2312" w:eastAsia="仿宋_GB2312" w:cs="仿宋_GB2312"/>
          <w:kern w:val="0"/>
          <w:sz w:val="32"/>
          <w:szCs w:val="32"/>
          <w:highlight w:val="none"/>
        </w:rPr>
        <w:t>主要用</w:t>
      </w:r>
      <w:r>
        <w:rPr>
          <w:rFonts w:hint="eastAsia" w:ascii="仿宋_GB2312" w:eastAsia="仿宋_GB2312" w:cs="仿宋_GB2312"/>
          <w:kern w:val="0"/>
          <w:sz w:val="32"/>
          <w:szCs w:val="32"/>
          <w:highlight w:val="none"/>
          <w:lang w:val="en-US" w:eastAsia="zh-CN"/>
        </w:rPr>
        <w:t>于在职在编人员医疗保险和公务员医疗补助。</w:t>
      </w:r>
    </w:p>
    <w:p w14:paraId="375A5111">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both"/>
        <w:textAlignment w:val="auto"/>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val="en-US" w:eastAsia="zh-CN"/>
        </w:rPr>
        <w:t>五</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住房保障支出（类）</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57.26</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94.76</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165.49</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val="en-US" w:eastAsia="zh-CN"/>
        </w:rPr>
        <w:t>预决算差异的主要原因是增人增资年末追加，</w:t>
      </w:r>
      <w:r>
        <w:rPr>
          <w:rFonts w:hint="eastAsia" w:ascii="仿宋_GB2312" w:eastAsia="仿宋_GB2312" w:cs="仿宋_GB2312"/>
          <w:kern w:val="0"/>
          <w:sz w:val="32"/>
          <w:szCs w:val="32"/>
          <w:highlight w:val="none"/>
        </w:rPr>
        <w:t>主要用于按照国家政策规定为职工缴纳的住房公积金等住房改革方面的支出</w:t>
      </w:r>
      <w:r>
        <w:rPr>
          <w:rFonts w:hint="eastAsia" w:ascii="仿宋_GB2312" w:eastAsia="仿宋_GB2312" w:cs="仿宋_GB2312"/>
          <w:kern w:val="0"/>
          <w:sz w:val="32"/>
          <w:szCs w:val="32"/>
          <w:highlight w:val="none"/>
          <w:lang w:eastAsia="zh-CN"/>
        </w:rPr>
        <w:t>。</w:t>
      </w:r>
    </w:p>
    <w:p w14:paraId="621CA67E">
      <w:pPr>
        <w:autoSpaceDE w:val="0"/>
        <w:autoSpaceDN w:val="0"/>
        <w:adjustRightInd w:val="0"/>
        <w:spacing w:line="560" w:lineRule="exact"/>
        <w:ind w:firstLine="640" w:firstLineChars="200"/>
        <w:jc w:val="both"/>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三、</w:t>
      </w:r>
      <w:r>
        <w:rPr>
          <w:rFonts w:hint="eastAsia" w:ascii="黑体" w:hAnsi="黑体" w:eastAsia="黑体" w:cs="仿宋_GB2312"/>
          <w:kern w:val="0"/>
          <w:sz w:val="32"/>
          <w:szCs w:val="32"/>
          <w:highlight w:val="none"/>
          <w:lang w:eastAsia="zh-CN"/>
        </w:rPr>
        <w:t>2025</w:t>
      </w:r>
      <w:r>
        <w:rPr>
          <w:rFonts w:hint="eastAsia" w:ascii="黑体" w:hAnsi="黑体" w:eastAsia="黑体" w:cs="仿宋_GB2312"/>
          <w:kern w:val="0"/>
          <w:sz w:val="32"/>
          <w:szCs w:val="32"/>
          <w:highlight w:val="none"/>
        </w:rPr>
        <w:t>年度一般公共预算财政拨款基本支出决算情况说明</w:t>
      </w:r>
    </w:p>
    <w:p w14:paraId="18DA9A21">
      <w:pPr>
        <w:autoSpaceDE w:val="0"/>
        <w:autoSpaceDN w:val="0"/>
        <w:adjustRightInd w:val="0"/>
        <w:spacing w:line="560" w:lineRule="exact"/>
        <w:ind w:firstLine="640" w:firstLineChars="200"/>
        <w:jc w:val="both"/>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lang w:eastAsia="zh-CN"/>
        </w:rPr>
        <w:t>2025</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公共预算财政拨款基本支出</w:t>
      </w:r>
      <w:r>
        <w:rPr>
          <w:rFonts w:hint="eastAsia" w:ascii="仿宋_GB2312" w:eastAsia="仿宋_GB2312" w:cs="仿宋_GB2312"/>
          <w:kern w:val="0"/>
          <w:sz w:val="32"/>
          <w:szCs w:val="32"/>
          <w:highlight w:val="none"/>
          <w:lang w:val="en-US" w:eastAsia="zh-CN"/>
        </w:rPr>
        <w:t>1516.07</w:t>
      </w:r>
      <w:r>
        <w:rPr>
          <w:rFonts w:hint="eastAsia" w:ascii="仿宋_GB2312" w:eastAsia="仿宋_GB2312" w:cs="仿宋_GB2312"/>
          <w:kern w:val="0"/>
          <w:sz w:val="32"/>
          <w:szCs w:val="32"/>
          <w:highlight w:val="none"/>
        </w:rPr>
        <w:t>万元，支出具体情况如下：</w:t>
      </w:r>
    </w:p>
    <w:p w14:paraId="6B835CE4">
      <w:pPr>
        <w:numPr>
          <w:ilvl w:val="0"/>
          <w:numId w:val="2"/>
        </w:numPr>
        <w:autoSpaceDE w:val="0"/>
        <w:autoSpaceDN w:val="0"/>
        <w:adjustRightInd w:val="0"/>
        <w:spacing w:line="560" w:lineRule="exact"/>
        <w:ind w:firstLine="640" w:firstLineChars="200"/>
        <w:jc w:val="both"/>
        <w:rPr>
          <w:rFonts w:hint="eastAsia" w:ascii="仿宋_GB2312" w:hAnsi="黑体" w:eastAsia="仿宋_GB2312" w:cs="仿宋_GB2312"/>
          <w:kern w:val="0"/>
          <w:sz w:val="32"/>
          <w:szCs w:val="32"/>
          <w:highlight w:val="none"/>
          <w:lang w:val="en-US" w:eastAsia="zh-CN"/>
        </w:rPr>
      </w:pPr>
      <w:r>
        <w:rPr>
          <w:rFonts w:hint="eastAsia" w:ascii="仿宋_GB2312" w:eastAsia="仿宋_GB2312"/>
          <w:bCs/>
          <w:kern w:val="0"/>
          <w:sz w:val="32"/>
          <w:szCs w:val="32"/>
          <w:highlight w:val="none"/>
        </w:rPr>
        <w:t>工资福利支出</w:t>
      </w:r>
      <w:r>
        <w:rPr>
          <w:rFonts w:hint="eastAsia" w:ascii="仿宋_GB2312" w:eastAsia="仿宋_GB2312"/>
          <w:bCs/>
          <w:kern w:val="0"/>
          <w:sz w:val="32"/>
          <w:szCs w:val="32"/>
          <w:highlight w:val="none"/>
          <w:lang w:val="en-US" w:eastAsia="zh-CN"/>
        </w:rPr>
        <w:t>1153.21</w:t>
      </w:r>
      <w:r>
        <w:rPr>
          <w:rFonts w:hint="eastAsia" w:ascii="仿宋_GB2312" w:eastAsia="仿宋_GB2312"/>
          <w:bCs/>
          <w:kern w:val="0"/>
          <w:sz w:val="32"/>
          <w:szCs w:val="32"/>
          <w:highlight w:val="none"/>
        </w:rPr>
        <w:t>万元，完成年初预算的</w:t>
      </w:r>
      <w:r>
        <w:rPr>
          <w:rFonts w:hint="eastAsia" w:ascii="仿宋_GB2312" w:eastAsia="仿宋_GB2312"/>
          <w:bCs/>
          <w:kern w:val="0"/>
          <w:sz w:val="32"/>
          <w:szCs w:val="32"/>
          <w:highlight w:val="none"/>
          <w:lang w:val="en-US" w:eastAsia="zh-CN"/>
        </w:rPr>
        <w:t>171.29</w:t>
      </w:r>
      <w:r>
        <w:rPr>
          <w:rFonts w:hint="eastAsia" w:ascii="仿宋_GB2312" w:eastAsia="仿宋_GB2312"/>
          <w:bCs/>
          <w:kern w:val="0"/>
          <w:sz w:val="32"/>
          <w:szCs w:val="32"/>
          <w:highlight w:val="none"/>
        </w:rPr>
        <w:t xml:space="preserve"> %。</w:t>
      </w:r>
      <w:r>
        <w:rPr>
          <w:rFonts w:hint="eastAsia" w:ascii="仿宋_GB2312" w:hAnsi="黑体" w:eastAsia="仿宋_GB2312" w:cs="仿宋_GB2312"/>
          <w:kern w:val="0"/>
          <w:sz w:val="32"/>
          <w:szCs w:val="32"/>
          <w:highlight w:val="none"/>
          <w:lang w:val="en-US" w:eastAsia="zh-CN"/>
        </w:rPr>
        <w:t>预决算差异的原因是增人增资年末追加。</w:t>
      </w:r>
    </w:p>
    <w:p w14:paraId="31CFBDA2">
      <w:pPr>
        <w:numPr>
          <w:ilvl w:val="0"/>
          <w:numId w:val="0"/>
        </w:numPr>
        <w:autoSpaceDE w:val="0"/>
        <w:autoSpaceDN w:val="0"/>
        <w:adjustRightInd w:val="0"/>
        <w:spacing w:line="560" w:lineRule="exact"/>
        <w:ind w:firstLine="640" w:firstLineChars="200"/>
        <w:jc w:val="both"/>
        <w:rPr>
          <w:rFonts w:hint="eastAsia" w:ascii="仿宋_GB2312" w:eastAsia="仿宋_GB2312"/>
          <w:bCs/>
          <w:kern w:val="0"/>
          <w:sz w:val="32"/>
          <w:szCs w:val="32"/>
          <w:highlight w:val="none"/>
        </w:rPr>
      </w:pPr>
      <w:r>
        <w:rPr>
          <w:rFonts w:hint="eastAsia" w:ascii="仿宋_GB2312" w:eastAsia="仿宋_GB2312"/>
          <w:bCs/>
          <w:kern w:val="0"/>
          <w:sz w:val="32"/>
          <w:szCs w:val="32"/>
          <w:highlight w:val="none"/>
        </w:rPr>
        <w:t>（二）商品和服务支出</w:t>
      </w:r>
      <w:r>
        <w:rPr>
          <w:rFonts w:hint="eastAsia" w:ascii="仿宋_GB2312" w:eastAsia="仿宋_GB2312" w:cs="仿宋_GB2312"/>
          <w:kern w:val="0"/>
          <w:sz w:val="32"/>
          <w:szCs w:val="32"/>
          <w:highlight w:val="none"/>
          <w:lang w:val="en-US" w:eastAsia="zh-CN"/>
        </w:rPr>
        <w:t>283.98</w:t>
      </w:r>
      <w:r>
        <w:rPr>
          <w:rFonts w:hint="eastAsia" w:ascii="仿宋_GB2312" w:eastAsia="仿宋_GB2312"/>
          <w:bCs/>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115.60</w:t>
      </w:r>
      <w:r>
        <w:rPr>
          <w:rFonts w:hint="eastAsia" w:ascii="仿宋_GB2312" w:eastAsia="仿宋_GB2312"/>
          <w:bCs/>
          <w:kern w:val="0"/>
          <w:sz w:val="32"/>
          <w:szCs w:val="32"/>
          <w:highlight w:val="none"/>
        </w:rPr>
        <w:t>%</w:t>
      </w:r>
      <w:r>
        <w:rPr>
          <w:rFonts w:hint="eastAsia" w:ascii="仿宋_GB2312" w:hAnsi="黑体" w:eastAsia="仿宋_GB2312" w:cs="仿宋_GB2312"/>
          <w:kern w:val="0"/>
          <w:sz w:val="32"/>
          <w:szCs w:val="32"/>
          <w:highlight w:val="none"/>
          <w:lang w:val="en-US" w:eastAsia="zh-CN"/>
        </w:rPr>
        <w:t>预决算差异的原因是电费、维修费等费用增加</w:t>
      </w:r>
      <w:r>
        <w:rPr>
          <w:rFonts w:hint="eastAsia" w:ascii="仿宋_GB2312" w:eastAsia="仿宋_GB2312"/>
          <w:bCs/>
          <w:kern w:val="0"/>
          <w:sz w:val="32"/>
          <w:szCs w:val="32"/>
          <w:highlight w:val="none"/>
        </w:rPr>
        <w:t>。</w:t>
      </w:r>
    </w:p>
    <w:p w14:paraId="0252D085">
      <w:pPr>
        <w:autoSpaceDE w:val="0"/>
        <w:autoSpaceDN w:val="0"/>
        <w:adjustRightInd w:val="0"/>
        <w:spacing w:line="560" w:lineRule="exact"/>
        <w:ind w:firstLine="640" w:firstLineChars="200"/>
        <w:jc w:val="both"/>
        <w:rPr>
          <w:rFonts w:hint="default" w:ascii="仿宋_GB2312" w:eastAsia="仿宋_GB2312"/>
          <w:bCs/>
          <w:kern w:val="0"/>
          <w:sz w:val="32"/>
          <w:szCs w:val="32"/>
          <w:highlight w:val="none"/>
          <w:lang w:val="en-US"/>
        </w:rPr>
      </w:pPr>
      <w:r>
        <w:rPr>
          <w:rFonts w:hint="eastAsia" w:ascii="仿宋_GB2312" w:eastAsia="仿宋_GB2312"/>
          <w:bCs/>
          <w:kern w:val="0"/>
          <w:sz w:val="32"/>
          <w:szCs w:val="32"/>
          <w:highlight w:val="none"/>
          <w:lang w:eastAsia="zh-CN"/>
        </w:rPr>
        <w:t>（</w:t>
      </w:r>
      <w:r>
        <w:rPr>
          <w:rFonts w:hint="eastAsia" w:ascii="仿宋_GB2312" w:eastAsia="仿宋_GB2312"/>
          <w:bCs/>
          <w:kern w:val="0"/>
          <w:sz w:val="32"/>
          <w:szCs w:val="32"/>
          <w:highlight w:val="none"/>
          <w:lang w:val="en-US" w:eastAsia="zh-CN"/>
        </w:rPr>
        <w:t>三</w:t>
      </w:r>
      <w:r>
        <w:rPr>
          <w:rFonts w:hint="eastAsia" w:ascii="仿宋_GB2312" w:eastAsia="仿宋_GB2312"/>
          <w:bCs/>
          <w:kern w:val="0"/>
          <w:sz w:val="32"/>
          <w:szCs w:val="32"/>
          <w:highlight w:val="none"/>
          <w:lang w:eastAsia="zh-CN"/>
        </w:rPr>
        <w:t>）</w:t>
      </w:r>
      <w:r>
        <w:rPr>
          <w:rFonts w:hint="eastAsia" w:ascii="仿宋_GB2312" w:eastAsia="仿宋_GB2312"/>
          <w:bCs/>
          <w:kern w:val="0"/>
          <w:sz w:val="32"/>
          <w:szCs w:val="32"/>
          <w:highlight w:val="none"/>
        </w:rPr>
        <w:t>对个人和家庭补助</w:t>
      </w:r>
      <w:r>
        <w:rPr>
          <w:rFonts w:hint="eastAsia" w:ascii="仿宋_GB2312" w:eastAsia="仿宋_GB2312"/>
          <w:bCs/>
          <w:kern w:val="0"/>
          <w:sz w:val="32"/>
          <w:szCs w:val="32"/>
          <w:highlight w:val="none"/>
          <w:lang w:val="en-US" w:eastAsia="zh-CN"/>
        </w:rPr>
        <w:t>78.88万元，</w:t>
      </w:r>
      <w:r>
        <w:rPr>
          <w:rFonts w:hint="eastAsia" w:ascii="仿宋_GB2312" w:eastAsia="仿宋_GB2312"/>
          <w:bCs/>
          <w:kern w:val="0"/>
          <w:sz w:val="32"/>
          <w:szCs w:val="32"/>
          <w:highlight w:val="none"/>
        </w:rPr>
        <w:t xml:space="preserve">完成年初预算的 </w:t>
      </w:r>
      <w:r>
        <w:rPr>
          <w:rFonts w:hint="eastAsia" w:ascii="仿宋_GB2312" w:eastAsia="仿宋_GB2312"/>
          <w:bCs/>
          <w:kern w:val="0"/>
          <w:sz w:val="32"/>
          <w:szCs w:val="32"/>
          <w:highlight w:val="none"/>
          <w:lang w:val="en-US" w:eastAsia="zh-CN"/>
        </w:rPr>
        <w:t>112.90</w:t>
      </w:r>
      <w:r>
        <w:rPr>
          <w:rFonts w:hint="eastAsia" w:ascii="仿宋_GB2312" w:eastAsia="仿宋_GB2312"/>
          <w:bCs/>
          <w:kern w:val="0"/>
          <w:sz w:val="32"/>
          <w:szCs w:val="32"/>
          <w:highlight w:val="none"/>
        </w:rPr>
        <w:t>%</w:t>
      </w:r>
      <w:r>
        <w:rPr>
          <w:rFonts w:hint="eastAsia" w:ascii="仿宋_GB2312" w:eastAsia="仿宋_GB2312"/>
          <w:bCs/>
          <w:kern w:val="0"/>
          <w:sz w:val="32"/>
          <w:szCs w:val="32"/>
          <w:highlight w:val="none"/>
          <w:lang w:eastAsia="zh-CN"/>
        </w:rPr>
        <w:t>。</w:t>
      </w:r>
      <w:r>
        <w:rPr>
          <w:rFonts w:hint="eastAsia" w:ascii="仿宋_GB2312" w:hAnsi="黑体" w:eastAsia="仿宋_GB2312" w:cs="仿宋_GB2312"/>
          <w:kern w:val="0"/>
          <w:sz w:val="32"/>
          <w:szCs w:val="32"/>
          <w:highlight w:val="none"/>
          <w:lang w:val="en-US" w:eastAsia="zh-CN"/>
        </w:rPr>
        <w:t>预决算差异的原因是</w:t>
      </w:r>
      <w:r>
        <w:rPr>
          <w:rFonts w:hint="eastAsia" w:ascii="仿宋_GB2312" w:eastAsia="仿宋_GB2312"/>
          <w:bCs/>
          <w:kern w:val="0"/>
          <w:sz w:val="32"/>
          <w:szCs w:val="32"/>
          <w:highlight w:val="none"/>
          <w:lang w:val="en-US" w:eastAsia="zh-CN"/>
        </w:rPr>
        <w:t>离退休人员死亡抚恤金增加。</w:t>
      </w:r>
    </w:p>
    <w:p w14:paraId="0E8C1A6D">
      <w:pPr>
        <w:autoSpaceDE w:val="0"/>
        <w:autoSpaceDN w:val="0"/>
        <w:adjustRightInd w:val="0"/>
        <w:spacing w:line="560" w:lineRule="exact"/>
        <w:ind w:firstLine="640" w:firstLineChars="200"/>
        <w:jc w:val="both"/>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2025</w:t>
      </w:r>
      <w:r>
        <w:rPr>
          <w:rFonts w:hint="eastAsia" w:ascii="黑体" w:hAnsi="黑体" w:eastAsia="黑体" w:cs="仿宋_GB2312"/>
          <w:kern w:val="0"/>
          <w:sz w:val="32"/>
          <w:szCs w:val="32"/>
        </w:rPr>
        <w:t>年度政府性基金支出决算情况</w:t>
      </w:r>
    </w:p>
    <w:p w14:paraId="002E4402">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hAnsi="Times New Roman" w:eastAsia="仿宋_GB2312" w:cs="Times New Roman"/>
          <w:sz w:val="32"/>
          <w:szCs w:val="32"/>
          <w:lang w:val="en-US" w:eastAsia="zh-CN"/>
        </w:rPr>
        <w:t>广西师范大学附属中学</w:t>
      </w:r>
      <w:r>
        <w:rPr>
          <w:rFonts w:hint="eastAsia" w:ascii="仿宋_GB2312" w:eastAsia="仿宋_GB2312"/>
          <w:kern w:val="0"/>
          <w:sz w:val="32"/>
          <w:szCs w:val="32"/>
          <w:lang w:eastAsia="zh-CN"/>
        </w:rPr>
        <w:t>2025</w:t>
      </w:r>
      <w:r>
        <w:rPr>
          <w:rFonts w:hint="eastAsia" w:ascii="仿宋_GB2312" w:eastAsia="仿宋_GB2312" w:cs="仿宋_GB2312"/>
          <w:kern w:val="0"/>
          <w:sz w:val="32"/>
          <w:szCs w:val="32"/>
        </w:rPr>
        <w:t>年度</w:t>
      </w:r>
      <w:r>
        <w:rPr>
          <w:rFonts w:hint="eastAsia" w:ascii="仿宋_GB2312" w:eastAsia="仿宋_GB2312" w:cs="仿宋_GB2312"/>
          <w:kern w:val="0"/>
          <w:sz w:val="32"/>
          <w:szCs w:val="32"/>
          <w:lang w:val="en-US" w:eastAsia="zh-CN"/>
        </w:rPr>
        <w:t>无</w:t>
      </w:r>
      <w:r>
        <w:rPr>
          <w:rFonts w:hint="eastAsia" w:ascii="仿宋_GB2312" w:eastAsia="仿宋_GB2312" w:cs="仿宋_GB2312"/>
          <w:kern w:val="0"/>
          <w:sz w:val="32"/>
          <w:szCs w:val="32"/>
        </w:rPr>
        <w:t>政府性基金支出。</w:t>
      </w:r>
    </w:p>
    <w:p w14:paraId="0F700DE9">
      <w:pPr>
        <w:autoSpaceDE w:val="0"/>
        <w:autoSpaceDN w:val="0"/>
        <w:adjustRightInd w:val="0"/>
        <w:spacing w:line="560" w:lineRule="exact"/>
        <w:ind w:firstLine="640" w:firstLineChars="200"/>
        <w:jc w:val="both"/>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2025</w:t>
      </w:r>
      <w:r>
        <w:rPr>
          <w:rFonts w:hint="eastAsia" w:ascii="黑体" w:hAnsi="黑体" w:eastAsia="黑体" w:cs="仿宋_GB2312"/>
          <w:kern w:val="0"/>
          <w:sz w:val="32"/>
          <w:szCs w:val="32"/>
        </w:rPr>
        <w:t>年度国有资本经营预算支出决算情况</w:t>
      </w:r>
    </w:p>
    <w:p w14:paraId="49553A37">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hAnsi="Times New Roman" w:eastAsia="仿宋_GB2312" w:cs="Times New Roman"/>
          <w:sz w:val="32"/>
          <w:szCs w:val="32"/>
          <w:lang w:val="en-US" w:eastAsia="zh-CN"/>
        </w:rPr>
        <w:t>广西师范大学附属中学</w:t>
      </w:r>
      <w:r>
        <w:rPr>
          <w:rFonts w:hint="eastAsia" w:ascii="仿宋_GB2312" w:eastAsia="仿宋_GB2312"/>
          <w:kern w:val="0"/>
          <w:sz w:val="32"/>
          <w:szCs w:val="32"/>
          <w:lang w:eastAsia="zh-CN"/>
        </w:rPr>
        <w:t>2025</w:t>
      </w:r>
      <w:r>
        <w:rPr>
          <w:rFonts w:hint="eastAsia" w:ascii="仿宋_GB2312" w:eastAsia="仿宋_GB2312" w:cs="仿宋_GB2312"/>
          <w:kern w:val="0"/>
          <w:sz w:val="32"/>
          <w:szCs w:val="32"/>
        </w:rPr>
        <w:t>年度</w:t>
      </w:r>
      <w:r>
        <w:rPr>
          <w:rFonts w:hint="eastAsia" w:ascii="仿宋_GB2312" w:eastAsia="仿宋_GB2312" w:cs="仿宋_GB2312"/>
          <w:kern w:val="0"/>
          <w:sz w:val="32"/>
          <w:szCs w:val="32"/>
          <w:lang w:val="en-US" w:eastAsia="zh-CN"/>
        </w:rPr>
        <w:t>无</w:t>
      </w:r>
      <w:r>
        <w:rPr>
          <w:rFonts w:hint="eastAsia" w:ascii="仿宋_GB2312" w:eastAsia="仿宋_GB2312" w:cs="仿宋_GB2312"/>
          <w:kern w:val="0"/>
          <w:sz w:val="32"/>
          <w:szCs w:val="32"/>
        </w:rPr>
        <w:t>国有资本经营预算支出。</w:t>
      </w:r>
    </w:p>
    <w:p w14:paraId="5373D250">
      <w:pPr>
        <w:autoSpaceDE w:val="0"/>
        <w:autoSpaceDN w:val="0"/>
        <w:adjustRightInd w:val="0"/>
        <w:spacing w:line="560" w:lineRule="exact"/>
        <w:ind w:firstLine="640" w:firstLineChars="200"/>
        <w:jc w:val="both"/>
        <w:rPr>
          <w:rFonts w:hint="eastAsia"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6D7104E0">
      <w:pPr>
        <w:autoSpaceDE w:val="0"/>
        <w:autoSpaceDN w:val="0"/>
        <w:adjustRightInd w:val="0"/>
        <w:spacing w:line="560" w:lineRule="exact"/>
        <w:ind w:firstLine="640" w:firstLineChars="200"/>
        <w:jc w:val="both"/>
        <w:rPr>
          <w:rFonts w:hint="eastAsia" w:ascii="仿宋_GB2312" w:hAnsi="黑体" w:eastAsia="仿宋_GB2312" w:cs="Times New Roman"/>
          <w:bCs/>
          <w:color w:val="000000"/>
          <w:sz w:val="32"/>
          <w:szCs w:val="32"/>
          <w:lang w:val="en-US" w:eastAsia="zh-CN"/>
        </w:rPr>
      </w:pPr>
      <w:r>
        <w:rPr>
          <w:rFonts w:hint="eastAsia" w:ascii="仿宋_GB2312" w:hAnsi="黑体" w:eastAsia="仿宋_GB2312" w:cs="Times New Roman"/>
          <w:bCs/>
          <w:color w:val="000000"/>
          <w:sz w:val="32"/>
          <w:szCs w:val="32"/>
          <w:lang w:val="en-US" w:eastAsia="zh-CN"/>
        </w:rPr>
        <w:t>广西师范大学附属中学2025年度年度一般公共预算财政拨款安排的“三公”经费支出决算中，因公出国（境）费支出决算0万元；公务用车购置及运行费支出决算0万元；公务接待费支出决算0万元。</w:t>
      </w:r>
    </w:p>
    <w:p w14:paraId="5E43C4ED">
      <w:pPr>
        <w:autoSpaceDE w:val="0"/>
        <w:autoSpaceDN w:val="0"/>
        <w:adjustRightInd w:val="0"/>
        <w:spacing w:line="560" w:lineRule="exact"/>
        <w:ind w:firstLine="627" w:firstLineChars="196"/>
        <w:jc w:val="both"/>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54646366">
      <w:pPr>
        <w:autoSpaceDE w:val="0"/>
        <w:autoSpaceDN w:val="0"/>
        <w:adjustRightInd w:val="0"/>
        <w:spacing w:line="560" w:lineRule="exact"/>
        <w:ind w:firstLine="640" w:firstLineChars="200"/>
        <w:jc w:val="both"/>
        <w:rPr>
          <w:rFonts w:hint="eastAsia" w:ascii="楷体_GB2312" w:eastAsia="楷体_GB2312" w:cs="仿宋_GB2312"/>
          <w:kern w:val="0"/>
          <w:sz w:val="32"/>
          <w:szCs w:val="32"/>
        </w:rPr>
      </w:pPr>
      <w:r>
        <w:rPr>
          <w:rFonts w:hint="eastAsia" w:ascii="仿宋_GB2312" w:eastAsia="仿宋_GB2312"/>
          <w:bCs/>
          <w:kern w:val="0"/>
          <w:sz w:val="32"/>
          <w:szCs w:val="32"/>
          <w:highlight w:val="none"/>
        </w:rPr>
        <w:t>（一）机关运行经费支出情况说明。</w:t>
      </w:r>
    </w:p>
    <w:p w14:paraId="4848003E">
      <w:pPr>
        <w:autoSpaceDE w:val="0"/>
        <w:autoSpaceDN w:val="0"/>
        <w:adjustRightInd w:val="0"/>
        <w:spacing w:line="560" w:lineRule="exact"/>
        <w:ind w:firstLine="640" w:firstLineChars="200"/>
        <w:jc w:val="both"/>
        <w:rPr>
          <w:rFonts w:hint="eastAsia" w:ascii="楷体_GB2312" w:eastAsia="楷体_GB2312" w:cs="仿宋_GB2312"/>
          <w:kern w:val="0"/>
          <w:sz w:val="32"/>
          <w:szCs w:val="32"/>
        </w:rPr>
      </w:pPr>
      <w:r>
        <w:rPr>
          <w:rFonts w:hint="eastAsia" w:ascii="仿宋_GB2312" w:eastAsia="仿宋_GB2312" w:cs="仿宋_GB2312"/>
          <w:kern w:val="0"/>
          <w:sz w:val="32"/>
          <w:szCs w:val="32"/>
          <w:lang w:val="en-US" w:eastAsia="zh-CN"/>
        </w:rPr>
        <w:t>广西师范大学附属中学</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年度</w:t>
      </w:r>
      <w:r>
        <w:rPr>
          <w:rFonts w:hint="eastAsia" w:ascii="仿宋_GB2312" w:eastAsia="仿宋_GB2312" w:cs="仿宋_GB2312"/>
          <w:kern w:val="0"/>
          <w:sz w:val="32"/>
          <w:szCs w:val="32"/>
          <w:lang w:val="en-US" w:eastAsia="zh-CN"/>
        </w:rPr>
        <w:t>无</w:t>
      </w:r>
      <w:r>
        <w:rPr>
          <w:rFonts w:hint="eastAsia" w:ascii="仿宋_GB2312" w:eastAsia="仿宋_GB2312" w:cs="仿宋_GB2312"/>
          <w:kern w:val="0"/>
          <w:sz w:val="32"/>
          <w:szCs w:val="32"/>
        </w:rPr>
        <w:t>机关运行经费支出</w:t>
      </w:r>
      <w:r>
        <w:rPr>
          <w:rFonts w:hint="eastAsia" w:ascii="仿宋_GB2312" w:eastAsia="仿宋_GB2312" w:cs="仿宋_GB2312"/>
          <w:kern w:val="0"/>
          <w:sz w:val="32"/>
          <w:szCs w:val="32"/>
          <w:lang w:eastAsia="zh-CN"/>
        </w:rPr>
        <w:t>。</w:t>
      </w:r>
    </w:p>
    <w:p w14:paraId="306BDA0C">
      <w:pPr>
        <w:autoSpaceDE w:val="0"/>
        <w:autoSpaceDN w:val="0"/>
        <w:adjustRightInd w:val="0"/>
        <w:spacing w:line="560" w:lineRule="exact"/>
        <w:ind w:firstLine="640" w:firstLineChars="200"/>
        <w:jc w:val="both"/>
        <w:rPr>
          <w:rFonts w:hint="eastAsia" w:ascii="仿宋_GB2312" w:eastAsia="仿宋_GB2312"/>
          <w:bCs/>
          <w:kern w:val="0"/>
          <w:sz w:val="32"/>
          <w:szCs w:val="32"/>
          <w:highlight w:val="none"/>
        </w:rPr>
      </w:pPr>
      <w:r>
        <w:rPr>
          <w:rFonts w:hint="eastAsia" w:ascii="仿宋_GB2312" w:eastAsia="仿宋_GB2312"/>
          <w:bCs/>
          <w:kern w:val="0"/>
          <w:sz w:val="32"/>
          <w:szCs w:val="32"/>
          <w:highlight w:val="none"/>
          <w:lang w:eastAsia="zh-CN"/>
        </w:rPr>
        <w:t>（</w:t>
      </w:r>
      <w:r>
        <w:rPr>
          <w:rFonts w:hint="eastAsia" w:ascii="仿宋_GB2312" w:eastAsia="仿宋_GB2312"/>
          <w:bCs/>
          <w:kern w:val="0"/>
          <w:sz w:val="32"/>
          <w:szCs w:val="32"/>
          <w:highlight w:val="none"/>
          <w:lang w:val="en-US" w:eastAsia="zh-CN"/>
        </w:rPr>
        <w:t>二</w:t>
      </w:r>
      <w:r>
        <w:rPr>
          <w:rFonts w:hint="eastAsia" w:ascii="仿宋_GB2312" w:eastAsia="仿宋_GB2312"/>
          <w:bCs/>
          <w:kern w:val="0"/>
          <w:sz w:val="32"/>
          <w:szCs w:val="32"/>
          <w:highlight w:val="none"/>
          <w:lang w:eastAsia="zh-CN"/>
        </w:rPr>
        <w:t>）</w:t>
      </w:r>
      <w:r>
        <w:rPr>
          <w:rFonts w:hint="eastAsia" w:ascii="仿宋_GB2312" w:eastAsia="仿宋_GB2312"/>
          <w:bCs/>
          <w:kern w:val="0"/>
          <w:sz w:val="32"/>
          <w:szCs w:val="32"/>
          <w:highlight w:val="none"/>
        </w:rPr>
        <w:t>政府采购支出情况说明。</w:t>
      </w:r>
    </w:p>
    <w:p w14:paraId="711816AC">
      <w:pPr>
        <w:numPr>
          <w:ilvl w:val="0"/>
          <w:numId w:val="0"/>
        </w:numPr>
        <w:autoSpaceDE w:val="0"/>
        <w:autoSpaceDN w:val="0"/>
        <w:adjustRightInd w:val="0"/>
        <w:spacing w:line="560" w:lineRule="exact"/>
        <w:ind w:firstLine="640" w:firstLineChars="200"/>
        <w:jc w:val="both"/>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本部门</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1416.86</w:t>
      </w:r>
      <w:r>
        <w:rPr>
          <w:rFonts w:hint="eastAsia" w:ascii="仿宋_GB2312" w:eastAsia="仿宋_GB2312" w:cs="仿宋_GB2312"/>
          <w:kern w:val="0"/>
          <w:sz w:val="32"/>
          <w:szCs w:val="32"/>
        </w:rPr>
        <w:t>万元，其中：政府采购</w:t>
      </w:r>
      <w:r>
        <w:rPr>
          <w:rFonts w:hint="eastAsia" w:ascii="仿宋_GB2312" w:eastAsia="仿宋_GB2312" w:cs="仿宋_GB2312"/>
          <w:kern w:val="0"/>
          <w:sz w:val="32"/>
          <w:szCs w:val="32"/>
          <w:highlight w:val="none"/>
        </w:rPr>
        <w:t>货物支出</w:t>
      </w:r>
      <w:r>
        <w:rPr>
          <w:rFonts w:hint="eastAsia" w:ascii="仿宋_GB2312" w:eastAsia="仿宋_GB2312" w:cs="仿宋_GB2312"/>
          <w:kern w:val="0"/>
          <w:sz w:val="32"/>
          <w:szCs w:val="32"/>
          <w:highlight w:val="none"/>
          <w:lang w:val="en-US" w:eastAsia="zh-CN"/>
        </w:rPr>
        <w:t>119.40</w:t>
      </w:r>
      <w:r>
        <w:rPr>
          <w:rFonts w:hint="eastAsia" w:ascii="仿宋_GB2312" w:eastAsia="仿宋_GB2312" w:cs="仿宋_GB2312"/>
          <w:kern w:val="0"/>
          <w:sz w:val="32"/>
          <w:szCs w:val="32"/>
          <w:highlight w:val="none"/>
        </w:rPr>
        <w:t>万元、政府采购工程支出</w:t>
      </w:r>
      <w:r>
        <w:rPr>
          <w:rFonts w:hint="eastAsia" w:ascii="仿宋_GB2312" w:eastAsia="仿宋_GB2312" w:cs="仿宋_GB2312"/>
          <w:kern w:val="0"/>
          <w:sz w:val="32"/>
          <w:szCs w:val="32"/>
          <w:highlight w:val="none"/>
          <w:lang w:val="en-US" w:eastAsia="zh-CN"/>
        </w:rPr>
        <w:t>1297.46</w:t>
      </w:r>
      <w:r>
        <w:rPr>
          <w:rFonts w:hint="eastAsia" w:ascii="仿宋_GB2312" w:eastAsia="仿宋_GB2312" w:cs="仿宋_GB2312"/>
          <w:kern w:val="0"/>
          <w:sz w:val="32"/>
          <w:szCs w:val="32"/>
          <w:highlight w:val="none"/>
        </w:rPr>
        <w:t>万元、政府采购服务支出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授予中小企业合同金额</w:t>
      </w:r>
      <w:r>
        <w:rPr>
          <w:rFonts w:hint="eastAsia" w:ascii="仿宋_GB2312" w:eastAsia="仿宋_GB2312" w:cs="仿宋_GB2312"/>
          <w:kern w:val="0"/>
          <w:sz w:val="32"/>
          <w:szCs w:val="32"/>
          <w:lang w:val="en-US" w:eastAsia="zh-CN"/>
        </w:rPr>
        <w:t>1416.86</w:t>
      </w:r>
      <w:r>
        <w:rPr>
          <w:rFonts w:hint="eastAsia" w:ascii="仿宋_GB2312" w:eastAsia="仿宋_GB2312" w:cs="仿宋_GB2312"/>
          <w:kern w:val="0"/>
          <w:sz w:val="32"/>
          <w:szCs w:val="32"/>
          <w:highlight w:val="none"/>
        </w:rPr>
        <w:t>万元，占政府采购支出总额的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1416.86</w:t>
      </w:r>
      <w:r>
        <w:rPr>
          <w:rFonts w:hint="eastAsia" w:ascii="仿宋_GB2312" w:eastAsia="仿宋_GB2312" w:cs="仿宋_GB2312"/>
          <w:kern w:val="0"/>
          <w:sz w:val="32"/>
          <w:szCs w:val="32"/>
        </w:rPr>
        <w:t>万元，占授予中小企业合同金额的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w:t>
      </w:r>
      <w:r>
        <w:rPr>
          <w:rFonts w:hint="eastAsia" w:ascii="仿宋_GB2312" w:hAnsi="Times New Roman" w:eastAsia="仿宋_GB2312" w:cs="仿宋_GB2312"/>
          <w:kern w:val="0"/>
          <w:sz w:val="32"/>
          <w:szCs w:val="32"/>
          <w:highlight w:val="none"/>
        </w:rPr>
        <w:t>货物采购授予中小企业合同金额占货物支出金额额</w:t>
      </w:r>
      <w:r>
        <w:rPr>
          <w:rFonts w:hint="eastAsia" w:ascii="仿宋_GB2312" w:hAnsi="Times New Roman" w:eastAsia="仿宋_GB2312" w:cs="仿宋_GB2312"/>
          <w:kern w:val="0"/>
          <w:sz w:val="32"/>
          <w:szCs w:val="32"/>
          <w:highlight w:val="none"/>
          <w:lang w:val="en-US" w:eastAsia="zh-CN"/>
        </w:rPr>
        <w:t>100</w:t>
      </w:r>
      <w:r>
        <w:rPr>
          <w:rFonts w:hint="eastAsia" w:ascii="仿宋_GB2312" w:hAnsi="Times New Roman" w:eastAsia="仿宋_GB2312" w:cs="仿宋_GB2312"/>
          <w:kern w:val="0"/>
          <w:sz w:val="32"/>
          <w:szCs w:val="32"/>
          <w:highlight w:val="none"/>
        </w:rPr>
        <w:t>%；工程采购授予中小企业合同金额占工程支出金额的</w:t>
      </w:r>
      <w:r>
        <w:rPr>
          <w:rFonts w:hint="eastAsia" w:ascii="仿宋_GB2312" w:hAnsi="Times New Roman" w:eastAsia="仿宋_GB2312" w:cs="仿宋_GB2312"/>
          <w:kern w:val="0"/>
          <w:sz w:val="32"/>
          <w:szCs w:val="32"/>
          <w:highlight w:val="none"/>
          <w:lang w:val="en-US" w:eastAsia="zh-CN"/>
        </w:rPr>
        <w:t>100</w:t>
      </w:r>
      <w:r>
        <w:rPr>
          <w:rFonts w:hint="eastAsia" w:ascii="仿宋_GB2312" w:hAnsi="Times New Roman" w:eastAsia="仿宋_GB2312" w:cs="仿宋_GB2312"/>
          <w:kern w:val="0"/>
          <w:sz w:val="32"/>
          <w:szCs w:val="32"/>
          <w:highlight w:val="none"/>
        </w:rPr>
        <w:t>%；服务采购授予中小企业合同金额占服务支出金额的</w:t>
      </w:r>
      <w:r>
        <w:rPr>
          <w:rFonts w:hint="eastAsia" w:ascii="仿宋_GB2312" w:hAnsi="Times New Roman" w:eastAsia="仿宋_GB2312" w:cs="仿宋_GB2312"/>
          <w:kern w:val="0"/>
          <w:sz w:val="32"/>
          <w:szCs w:val="32"/>
          <w:highlight w:val="none"/>
          <w:lang w:val="en-US" w:eastAsia="zh-CN"/>
        </w:rPr>
        <w:t>0</w:t>
      </w:r>
      <w:r>
        <w:rPr>
          <w:rFonts w:hint="eastAsia" w:ascii="仿宋_GB2312" w:hAnsi="Times New Roman" w:eastAsia="仿宋_GB2312" w:cs="仿宋_GB2312"/>
          <w:kern w:val="0"/>
          <w:sz w:val="32"/>
          <w:szCs w:val="32"/>
          <w:highlight w:val="none"/>
        </w:rPr>
        <w:t>%。</w:t>
      </w:r>
    </w:p>
    <w:p w14:paraId="6D1F5957">
      <w:pPr>
        <w:autoSpaceDE w:val="0"/>
        <w:autoSpaceDN w:val="0"/>
        <w:adjustRightInd w:val="0"/>
        <w:spacing w:line="560" w:lineRule="exact"/>
        <w:ind w:firstLine="640" w:firstLineChars="200"/>
        <w:jc w:val="both"/>
        <w:rPr>
          <w:rFonts w:hint="eastAsia" w:ascii="楷体_GB2312" w:eastAsia="楷体_GB2312" w:cs="仿宋_GB2312"/>
          <w:kern w:val="0"/>
          <w:sz w:val="32"/>
          <w:szCs w:val="32"/>
        </w:rPr>
      </w:pPr>
      <w:r>
        <w:rPr>
          <w:rFonts w:hint="eastAsia" w:ascii="楷体_GB2312" w:eastAsia="楷体_GB2312" w:cs="仿宋_GB2312"/>
          <w:kern w:val="0"/>
          <w:sz w:val="32"/>
          <w:szCs w:val="32"/>
          <w:lang w:eastAsia="zh-CN"/>
        </w:rPr>
        <w:t>（</w:t>
      </w:r>
      <w:r>
        <w:rPr>
          <w:rFonts w:hint="eastAsia" w:ascii="楷体_GB2312" w:eastAsia="楷体_GB2312" w:cs="仿宋_GB2312"/>
          <w:kern w:val="0"/>
          <w:sz w:val="32"/>
          <w:szCs w:val="32"/>
          <w:lang w:val="en-US" w:eastAsia="zh-CN"/>
        </w:rPr>
        <w:t>三</w:t>
      </w:r>
      <w:r>
        <w:rPr>
          <w:rFonts w:hint="eastAsia" w:ascii="楷体_GB2312" w:eastAsia="楷体_GB2312" w:cs="仿宋_GB2312"/>
          <w:kern w:val="0"/>
          <w:sz w:val="32"/>
          <w:szCs w:val="32"/>
          <w:lang w:eastAsia="zh-CN"/>
        </w:rPr>
        <w:t>）</w:t>
      </w:r>
      <w:r>
        <w:rPr>
          <w:rFonts w:hint="eastAsia" w:ascii="楷体_GB2312" w:eastAsia="楷体_GB2312" w:cs="仿宋_GB2312"/>
          <w:kern w:val="0"/>
          <w:sz w:val="32"/>
          <w:szCs w:val="32"/>
        </w:rPr>
        <w:t>国有资产占用情况说明。</w:t>
      </w:r>
    </w:p>
    <w:p w14:paraId="7E8427E6">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2025</w:t>
      </w:r>
      <w:r>
        <w:rPr>
          <w:rFonts w:hint="eastAsia" w:ascii="仿宋_GB2312" w:eastAsia="仿宋_GB2312" w:cs="仿宋_GB2312"/>
          <w:kern w:val="0"/>
          <w:sz w:val="32"/>
          <w:szCs w:val="32"/>
        </w:rPr>
        <w:t>年12月31日，本部门共有车辆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辆，其中：副部（省）级领导干部用车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辆、机要通信用车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辆、应急保障用车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辆、特种专业技术用车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辆，单位价值50万元以上通用设备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台（套）；单位价值100万元以上专用设备 </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台（套）。</w:t>
      </w:r>
    </w:p>
    <w:p w14:paraId="11A7B32F">
      <w:pPr>
        <w:autoSpaceDE w:val="0"/>
        <w:autoSpaceDN w:val="0"/>
        <w:adjustRightInd w:val="0"/>
        <w:spacing w:line="560" w:lineRule="exact"/>
        <w:ind w:firstLine="640" w:firstLineChars="200"/>
        <w:jc w:val="both"/>
        <w:rPr>
          <w:rFonts w:hint="eastAsia" w:ascii="楷体_GB2312" w:eastAsia="楷体_GB2312" w:cs="仿宋_GB2312"/>
          <w:kern w:val="0"/>
          <w:sz w:val="32"/>
          <w:szCs w:val="32"/>
        </w:rPr>
      </w:pPr>
      <w:r>
        <w:rPr>
          <w:rFonts w:hint="eastAsia" w:ascii="黑体" w:hAnsi="黑体" w:eastAsia="黑体" w:cs="黑体"/>
          <w:kern w:val="0"/>
          <w:sz w:val="32"/>
          <w:szCs w:val="32"/>
          <w:lang w:eastAsia="zh-CN"/>
        </w:rPr>
        <w:t>八、</w:t>
      </w:r>
      <w:r>
        <w:rPr>
          <w:rFonts w:hint="eastAsia" w:ascii="黑体" w:hAnsi="黑体" w:eastAsia="黑体" w:cs="黑体"/>
          <w:kern w:val="0"/>
          <w:sz w:val="32"/>
          <w:szCs w:val="32"/>
        </w:rPr>
        <w:t>预算绩效管理工作开展情况。</w:t>
      </w:r>
    </w:p>
    <w:p w14:paraId="039715CC">
      <w:pPr>
        <w:autoSpaceDE w:val="0"/>
        <w:autoSpaceDN w:val="0"/>
        <w:adjustRightInd w:val="0"/>
        <w:spacing w:line="560" w:lineRule="exact"/>
        <w:ind w:firstLine="640" w:firstLineChars="200"/>
        <w:jc w:val="both"/>
        <w:rPr>
          <w:rFonts w:hint="eastAsia" w:ascii="楷体_GB2312" w:eastAsia="楷体_GB2312" w:cs="仿宋_GB2312"/>
          <w:kern w:val="0"/>
          <w:sz w:val="32"/>
          <w:szCs w:val="32"/>
        </w:rPr>
      </w:pPr>
      <w:r>
        <w:rPr>
          <w:rFonts w:hint="eastAsia" w:ascii="楷体_GB2312" w:eastAsia="楷体_GB2312" w:cs="仿宋_GB2312"/>
          <w:kern w:val="0"/>
          <w:sz w:val="32"/>
          <w:szCs w:val="32"/>
          <w:lang w:val="en-US" w:eastAsia="zh-CN"/>
        </w:rPr>
        <w:t>（一）整体支出绩效自评结果。</w:t>
      </w:r>
    </w:p>
    <w:p w14:paraId="28B4291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我部门</w:t>
      </w:r>
      <w:r>
        <w:rPr>
          <w:rFonts w:hint="eastAsia" w:ascii="仿宋_GB2312" w:eastAsia="仿宋_GB2312" w:cs="仿宋_GB2312"/>
          <w:b w:val="0"/>
          <w:bCs w:val="0"/>
          <w:caps w:val="0"/>
          <w:color w:val="auto"/>
          <w:kern w:val="0"/>
          <w:sz w:val="32"/>
          <w:szCs w:val="32"/>
          <w:vertAlign w:val="baseline"/>
          <w:lang w:val="en-US" w:eastAsia="zh-CN" w:bidi="ar"/>
        </w:rPr>
        <w:t>2025</w:t>
      </w:r>
      <w:r>
        <w:rPr>
          <w:rFonts w:hint="eastAsia" w:ascii="仿宋_GB2312" w:hAnsi="Times New Roman" w:eastAsia="仿宋_GB2312" w:cs="仿宋_GB2312"/>
          <w:b w:val="0"/>
          <w:bCs w:val="0"/>
          <w:caps w:val="0"/>
          <w:color w:val="auto"/>
          <w:kern w:val="0"/>
          <w:sz w:val="32"/>
          <w:szCs w:val="32"/>
          <w:vertAlign w:val="baseline"/>
          <w:lang w:val="en-US" w:eastAsia="zh-CN" w:bidi="ar"/>
        </w:rPr>
        <w:t>年度部门预算数</w:t>
      </w:r>
      <w:r>
        <w:rPr>
          <w:rFonts w:hint="eastAsia" w:ascii="仿宋_GB2312" w:eastAsia="仿宋_GB2312" w:cs="仿宋_GB2312"/>
          <w:kern w:val="0"/>
          <w:sz w:val="32"/>
          <w:szCs w:val="32"/>
          <w:lang w:val="en-US" w:eastAsia="zh-CN"/>
        </w:rPr>
        <w:t>5313.03</w:t>
      </w:r>
      <w:r>
        <w:rPr>
          <w:rFonts w:hint="eastAsia" w:ascii="仿宋_GB2312" w:hAnsi="Times New Roman" w:eastAsia="仿宋_GB2312" w:cs="仿宋_GB2312"/>
          <w:b w:val="0"/>
          <w:bCs w:val="0"/>
          <w:caps w:val="0"/>
          <w:color w:val="auto"/>
          <w:kern w:val="0"/>
          <w:sz w:val="32"/>
          <w:szCs w:val="32"/>
          <w:vertAlign w:val="baseline"/>
          <w:lang w:val="en-US" w:eastAsia="zh-CN" w:bidi="ar"/>
        </w:rPr>
        <w:t>万元，执行数</w:t>
      </w:r>
      <w:r>
        <w:rPr>
          <w:rFonts w:hint="eastAsia" w:ascii="仿宋_GB2312" w:eastAsia="仿宋_GB2312" w:cs="仿宋_GB2312"/>
          <w:kern w:val="0"/>
          <w:sz w:val="32"/>
          <w:szCs w:val="32"/>
          <w:lang w:val="en-US" w:eastAsia="zh-CN"/>
        </w:rPr>
        <w:t>4313.60</w:t>
      </w:r>
      <w:r>
        <w:rPr>
          <w:rFonts w:hint="eastAsia" w:ascii="仿宋_GB2312" w:hAnsi="Times New Roman" w:eastAsia="仿宋_GB2312" w:cs="仿宋_GB2312"/>
          <w:b w:val="0"/>
          <w:bCs w:val="0"/>
          <w:caps w:val="0"/>
          <w:color w:val="auto"/>
          <w:kern w:val="0"/>
          <w:sz w:val="32"/>
          <w:szCs w:val="32"/>
          <w:vertAlign w:val="baseline"/>
          <w:lang w:val="en-US" w:eastAsia="zh-CN" w:bidi="ar"/>
        </w:rPr>
        <w:t>万元，整体支出绩效自评结果为一等。从自评情况来看，本级项目</w:t>
      </w:r>
      <w:r>
        <w:rPr>
          <w:rFonts w:hint="eastAsia" w:ascii="仿宋_GB2312" w:eastAsia="仿宋_GB2312" w:cs="仿宋_GB2312"/>
          <w:b w:val="0"/>
          <w:bCs w:val="0"/>
          <w:caps w:val="0"/>
          <w:color w:val="auto"/>
          <w:kern w:val="0"/>
          <w:sz w:val="32"/>
          <w:szCs w:val="32"/>
          <w:vertAlign w:val="baseline"/>
          <w:lang w:val="en-US" w:eastAsia="zh-CN" w:bidi="ar"/>
        </w:rPr>
        <w:t>22</w:t>
      </w:r>
      <w:r>
        <w:rPr>
          <w:rFonts w:hint="eastAsia" w:ascii="仿宋_GB2312" w:hAnsi="Times New Roman" w:eastAsia="仿宋_GB2312" w:cs="仿宋_GB2312"/>
          <w:b w:val="0"/>
          <w:bCs w:val="0"/>
          <w:caps w:val="0"/>
          <w:color w:val="auto"/>
          <w:kern w:val="0"/>
          <w:sz w:val="32"/>
          <w:szCs w:val="32"/>
          <w:vertAlign w:val="baseline"/>
          <w:lang w:val="en-US" w:eastAsia="zh-CN" w:bidi="ar"/>
        </w:rPr>
        <w:t>个项目，其中一等项目</w:t>
      </w:r>
      <w:r>
        <w:rPr>
          <w:rFonts w:hint="eastAsia" w:ascii="仿宋_GB2312" w:eastAsia="仿宋_GB2312" w:cs="仿宋_GB2312"/>
          <w:b w:val="0"/>
          <w:bCs w:val="0"/>
          <w:caps w:val="0"/>
          <w:color w:val="auto"/>
          <w:kern w:val="0"/>
          <w:sz w:val="32"/>
          <w:szCs w:val="32"/>
          <w:vertAlign w:val="baseline"/>
          <w:lang w:val="en-US" w:eastAsia="zh-CN" w:bidi="ar"/>
        </w:rPr>
        <w:t>16</w:t>
      </w:r>
      <w:r>
        <w:rPr>
          <w:rFonts w:hint="eastAsia" w:ascii="仿宋_GB2312" w:hAnsi="Times New Roman" w:eastAsia="仿宋_GB2312" w:cs="仿宋_GB2312"/>
          <w:b w:val="0"/>
          <w:bCs w:val="0"/>
          <w:caps w:val="0"/>
          <w:color w:val="auto"/>
          <w:kern w:val="0"/>
          <w:sz w:val="32"/>
          <w:szCs w:val="32"/>
          <w:vertAlign w:val="baseline"/>
          <w:lang w:val="en-US" w:eastAsia="zh-CN" w:bidi="ar"/>
        </w:rPr>
        <w:t>个，涉及资金</w:t>
      </w:r>
      <w:r>
        <w:rPr>
          <w:rFonts w:hint="eastAsia" w:ascii="仿宋_GB2312" w:eastAsia="仿宋_GB2312" w:cs="仿宋_GB2312"/>
          <w:b w:val="0"/>
          <w:bCs w:val="0"/>
          <w:caps w:val="0"/>
          <w:color w:val="auto"/>
          <w:kern w:val="0"/>
          <w:sz w:val="32"/>
          <w:szCs w:val="32"/>
          <w:vertAlign w:val="baseline"/>
          <w:lang w:val="en-US" w:eastAsia="zh-CN" w:bidi="ar"/>
        </w:rPr>
        <w:t>3517.52</w:t>
      </w:r>
      <w:r>
        <w:rPr>
          <w:rFonts w:hint="eastAsia" w:ascii="仿宋_GB2312" w:hAnsi="Times New Roman" w:eastAsia="仿宋_GB2312" w:cs="仿宋_GB2312"/>
          <w:b w:val="0"/>
          <w:bCs w:val="0"/>
          <w:caps w:val="0"/>
          <w:color w:val="auto"/>
          <w:kern w:val="0"/>
          <w:sz w:val="32"/>
          <w:szCs w:val="32"/>
          <w:vertAlign w:val="baseline"/>
          <w:lang w:val="en-US" w:eastAsia="zh-CN" w:bidi="ar"/>
        </w:rPr>
        <w:t>万元；二等项目2个，涉及资金</w:t>
      </w:r>
      <w:r>
        <w:rPr>
          <w:rFonts w:hint="eastAsia" w:ascii="仿宋_GB2312" w:eastAsia="仿宋_GB2312" w:cs="仿宋_GB2312"/>
          <w:b w:val="0"/>
          <w:bCs w:val="0"/>
          <w:caps w:val="0"/>
          <w:color w:val="auto"/>
          <w:kern w:val="0"/>
          <w:sz w:val="32"/>
          <w:szCs w:val="32"/>
          <w:vertAlign w:val="baseline"/>
          <w:lang w:val="en-US" w:eastAsia="zh-CN" w:bidi="ar"/>
        </w:rPr>
        <w:t>684.81</w:t>
      </w:r>
      <w:r>
        <w:rPr>
          <w:rFonts w:hint="eastAsia" w:ascii="仿宋_GB2312" w:hAnsi="Times New Roman" w:eastAsia="仿宋_GB2312" w:cs="仿宋_GB2312"/>
          <w:b w:val="0"/>
          <w:bCs w:val="0"/>
          <w:caps w:val="0"/>
          <w:color w:val="auto"/>
          <w:kern w:val="0"/>
          <w:sz w:val="32"/>
          <w:szCs w:val="32"/>
          <w:vertAlign w:val="baseline"/>
          <w:lang w:val="en-US" w:eastAsia="zh-CN" w:bidi="ar"/>
        </w:rPr>
        <w:t>万元；三等项目</w:t>
      </w:r>
      <w:r>
        <w:rPr>
          <w:rFonts w:hint="eastAsia" w:ascii="仿宋_GB2312" w:eastAsia="仿宋_GB2312" w:cs="仿宋_GB2312"/>
          <w:b w:val="0"/>
          <w:bCs w:val="0"/>
          <w:caps w:val="0"/>
          <w:color w:val="auto"/>
          <w:kern w:val="0"/>
          <w:sz w:val="32"/>
          <w:szCs w:val="32"/>
          <w:vertAlign w:val="baseline"/>
          <w:lang w:val="en-US" w:eastAsia="zh-CN" w:bidi="ar"/>
        </w:rPr>
        <w:t>3</w:t>
      </w:r>
      <w:r>
        <w:rPr>
          <w:rFonts w:hint="eastAsia" w:ascii="仿宋_GB2312" w:hAnsi="Times New Roman" w:eastAsia="仿宋_GB2312" w:cs="仿宋_GB2312"/>
          <w:b w:val="0"/>
          <w:bCs w:val="0"/>
          <w:caps w:val="0"/>
          <w:color w:val="auto"/>
          <w:kern w:val="0"/>
          <w:sz w:val="32"/>
          <w:szCs w:val="32"/>
          <w:vertAlign w:val="baseline"/>
          <w:lang w:val="en-US" w:eastAsia="zh-CN" w:bidi="ar"/>
        </w:rPr>
        <w:t>个，涉及资金</w:t>
      </w:r>
      <w:r>
        <w:rPr>
          <w:rFonts w:hint="eastAsia" w:ascii="仿宋_GB2312" w:eastAsia="仿宋_GB2312" w:cs="仿宋_GB2312"/>
          <w:b w:val="0"/>
          <w:bCs w:val="0"/>
          <w:caps w:val="0"/>
          <w:color w:val="auto"/>
          <w:kern w:val="0"/>
          <w:sz w:val="32"/>
          <w:szCs w:val="32"/>
          <w:vertAlign w:val="baseline"/>
          <w:lang w:val="en-US" w:eastAsia="zh-CN" w:bidi="ar"/>
        </w:rPr>
        <w:t>111.27</w:t>
      </w:r>
      <w:r>
        <w:rPr>
          <w:rFonts w:hint="eastAsia" w:ascii="仿宋_GB2312" w:hAnsi="Times New Roman" w:eastAsia="仿宋_GB2312" w:cs="仿宋_GB2312"/>
          <w:b w:val="0"/>
          <w:bCs w:val="0"/>
          <w:caps w:val="0"/>
          <w:color w:val="auto"/>
          <w:kern w:val="0"/>
          <w:sz w:val="32"/>
          <w:szCs w:val="32"/>
          <w:vertAlign w:val="baseline"/>
          <w:lang w:val="en-US" w:eastAsia="zh-CN" w:bidi="ar"/>
        </w:rPr>
        <w:t>万元</w:t>
      </w:r>
      <w:r>
        <w:rPr>
          <w:rFonts w:hint="eastAsia" w:ascii="仿宋_GB2312" w:eastAsia="仿宋_GB2312" w:cs="仿宋_GB2312"/>
          <w:b w:val="0"/>
          <w:bCs w:val="0"/>
          <w:caps w:val="0"/>
          <w:color w:val="auto"/>
          <w:kern w:val="0"/>
          <w:sz w:val="32"/>
          <w:szCs w:val="32"/>
          <w:vertAlign w:val="baseline"/>
          <w:lang w:val="en-US" w:eastAsia="zh-CN" w:bidi="ar"/>
        </w:rPr>
        <w:t>；四</w:t>
      </w:r>
      <w:r>
        <w:rPr>
          <w:rFonts w:hint="eastAsia" w:ascii="仿宋_GB2312" w:hAnsi="Times New Roman" w:eastAsia="仿宋_GB2312" w:cs="仿宋_GB2312"/>
          <w:b w:val="0"/>
          <w:bCs w:val="0"/>
          <w:caps w:val="0"/>
          <w:color w:val="auto"/>
          <w:kern w:val="0"/>
          <w:sz w:val="32"/>
          <w:szCs w:val="32"/>
          <w:vertAlign w:val="baseline"/>
          <w:lang w:val="en-US" w:eastAsia="zh-CN" w:bidi="ar"/>
        </w:rPr>
        <w:t>等项目</w:t>
      </w:r>
      <w:r>
        <w:rPr>
          <w:rFonts w:hint="eastAsia" w:ascii="仿宋_GB2312" w:eastAsia="仿宋_GB2312" w:cs="仿宋_GB2312"/>
          <w:b w:val="0"/>
          <w:bCs w:val="0"/>
          <w:caps w:val="0"/>
          <w:color w:val="auto"/>
          <w:kern w:val="0"/>
          <w:sz w:val="32"/>
          <w:szCs w:val="32"/>
          <w:vertAlign w:val="baseline"/>
          <w:lang w:val="en-US"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个</w:t>
      </w:r>
      <w:r>
        <w:rPr>
          <w:rFonts w:hint="eastAsia" w:ascii="仿宋_GB2312" w:eastAsia="仿宋_GB2312" w:cs="仿宋_GB2312"/>
          <w:b w:val="0"/>
          <w:bCs w:val="0"/>
          <w:caps w:val="0"/>
          <w:color w:val="auto"/>
          <w:kern w:val="0"/>
          <w:sz w:val="32"/>
          <w:szCs w:val="32"/>
          <w:vertAlign w:val="baseline"/>
          <w:lang w:val="en-US" w:eastAsia="zh-CN" w:bidi="ar"/>
        </w:rPr>
        <w:t>。</w:t>
      </w:r>
    </w:p>
    <w:p w14:paraId="35E1DEC1">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自评发现主要问题及原因：一是预算绩效指标制定不够合理，原因是预算项目指标制定过程中业务部门参与不够；二是预算绩效跟踪不到位，原因是对项目执行过程中绩效跟踪缺乏有效沟通和反馈。</w:t>
      </w:r>
    </w:p>
    <w:p w14:paraId="399E13D9">
      <w:pPr>
        <w:autoSpaceDE w:val="0"/>
        <w:autoSpaceDN w:val="0"/>
        <w:adjustRightInd w:val="0"/>
        <w:spacing w:line="560" w:lineRule="exact"/>
        <w:ind w:firstLine="640" w:firstLineChars="200"/>
        <w:jc w:val="both"/>
        <w:rPr>
          <w:rFonts w:hint="eastAsia" w:ascii="楷体_GB2312" w:eastAsia="楷体_GB2312" w:cs="仿宋_GB2312"/>
          <w:kern w:val="0"/>
          <w:sz w:val="32"/>
          <w:szCs w:val="32"/>
          <w:lang w:val="en-US" w:eastAsia="zh-CN"/>
        </w:rPr>
      </w:pPr>
      <w:r>
        <w:rPr>
          <w:rFonts w:hint="eastAsia" w:ascii="楷体_GB2312" w:eastAsia="楷体_GB2312" w:cs="仿宋_GB2312"/>
          <w:kern w:val="0"/>
          <w:sz w:val="32"/>
          <w:szCs w:val="32"/>
          <w:lang w:val="en-US" w:eastAsia="zh-CN"/>
        </w:rPr>
        <w:t xml:space="preserve"> （二）项目支出绩效自评结果。</w:t>
      </w:r>
    </w:p>
    <w:p w14:paraId="6E8B2647">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right="0" w:firstLine="640" w:firstLineChars="200"/>
        <w:jc w:val="both"/>
        <w:outlineLvl w:val="9"/>
        <w:rPr>
          <w:rFonts w:hint="eastAsia" w:ascii="仿宋_GB2312" w:eastAsia="仿宋_GB2312" w:cs="仿宋_GB2312"/>
          <w:caps w:val="0"/>
          <w:color w:val="auto"/>
          <w:kern w:val="0"/>
          <w:sz w:val="32"/>
          <w:szCs w:val="32"/>
          <w:vertAlign w:val="baseline"/>
          <w:lang w:eastAsia="zh-CN" w:bidi="ar"/>
        </w:rPr>
      </w:pPr>
      <w:r>
        <w:rPr>
          <w:rFonts w:hint="eastAsia" w:ascii="仿宋_GB2312" w:eastAsia="仿宋_GB2312" w:cs="仿宋_GB2312"/>
          <w:b w:val="0"/>
          <w:bCs w:val="0"/>
          <w:caps w:val="0"/>
          <w:color w:val="auto"/>
          <w:kern w:val="0"/>
          <w:sz w:val="32"/>
          <w:szCs w:val="32"/>
          <w:vertAlign w:val="baseline"/>
          <w:lang w:val="en-US"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项目绩效自评总体情况：我部门</w:t>
      </w:r>
      <w:r>
        <w:rPr>
          <w:rFonts w:hint="eastAsia" w:ascii="仿宋_GB2312" w:eastAsia="仿宋_GB2312" w:cs="仿宋_GB2312"/>
          <w:b w:val="0"/>
          <w:bCs w:val="0"/>
          <w:caps w:val="0"/>
          <w:color w:val="auto"/>
          <w:kern w:val="0"/>
          <w:sz w:val="32"/>
          <w:szCs w:val="32"/>
          <w:vertAlign w:val="baseline"/>
          <w:lang w:val="en-US" w:eastAsia="zh-CN" w:bidi="ar"/>
        </w:rPr>
        <w:t>2025</w:t>
      </w:r>
      <w:r>
        <w:rPr>
          <w:rFonts w:hint="eastAsia" w:ascii="仿宋_GB2312" w:hAnsi="Times New Roman" w:eastAsia="仿宋_GB2312" w:cs="仿宋_GB2312"/>
          <w:b w:val="0"/>
          <w:bCs w:val="0"/>
          <w:caps w:val="0"/>
          <w:color w:val="auto"/>
          <w:kern w:val="0"/>
          <w:sz w:val="32"/>
          <w:szCs w:val="32"/>
          <w:vertAlign w:val="baseline"/>
          <w:lang w:val="en-US" w:eastAsia="zh-CN" w:bidi="ar"/>
        </w:rPr>
        <w:t>年度项目</w:t>
      </w:r>
      <w:r>
        <w:rPr>
          <w:rFonts w:hint="eastAsia" w:ascii="仿宋_GB2312" w:eastAsia="仿宋_GB2312" w:cs="仿宋_GB2312"/>
          <w:b w:val="0"/>
          <w:bCs w:val="0"/>
          <w:caps w:val="0"/>
          <w:color w:val="auto"/>
          <w:kern w:val="0"/>
          <w:sz w:val="32"/>
          <w:szCs w:val="32"/>
          <w:vertAlign w:val="baseline"/>
          <w:lang w:val="en-US" w:eastAsia="zh-CN" w:bidi="ar"/>
        </w:rPr>
        <w:t>22</w:t>
      </w:r>
      <w:r>
        <w:rPr>
          <w:rFonts w:hint="eastAsia" w:ascii="仿宋_GB2312" w:hAnsi="Times New Roman" w:eastAsia="仿宋_GB2312" w:cs="仿宋_GB2312"/>
          <w:b w:val="0"/>
          <w:bCs w:val="0"/>
          <w:caps w:val="0"/>
          <w:color w:val="auto"/>
          <w:kern w:val="0"/>
          <w:sz w:val="32"/>
          <w:szCs w:val="32"/>
          <w:vertAlign w:val="baseline"/>
          <w:lang w:val="en-US" w:eastAsia="zh-CN" w:bidi="ar"/>
        </w:rPr>
        <w:t>个，项目支出总额</w:t>
      </w:r>
      <w:r>
        <w:rPr>
          <w:rFonts w:hint="eastAsia" w:ascii="仿宋_GB2312" w:eastAsia="仿宋_GB2312" w:cs="仿宋_GB2312"/>
          <w:kern w:val="0"/>
          <w:sz w:val="32"/>
          <w:szCs w:val="32"/>
          <w:lang w:val="en-US" w:eastAsia="zh-CN"/>
        </w:rPr>
        <w:t>4313.60</w:t>
      </w:r>
      <w:r>
        <w:rPr>
          <w:rFonts w:hint="eastAsia" w:ascii="仿宋_GB2312" w:hAnsi="Times New Roman" w:eastAsia="仿宋_GB2312" w:cs="仿宋_GB2312"/>
          <w:b w:val="0"/>
          <w:bCs w:val="0"/>
          <w:caps w:val="0"/>
          <w:color w:val="auto"/>
          <w:kern w:val="0"/>
          <w:sz w:val="32"/>
          <w:szCs w:val="32"/>
          <w:vertAlign w:val="baseline"/>
          <w:lang w:val="en-US" w:eastAsia="zh-CN" w:bidi="ar"/>
        </w:rPr>
        <w:t>万元，均为本级项目</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无</w:t>
      </w:r>
      <w:r>
        <w:rPr>
          <w:rFonts w:hint="eastAsia" w:ascii="仿宋_GB2312" w:hAnsi="Times New Roman" w:eastAsia="仿宋_GB2312" w:cs="仿宋_GB2312"/>
          <w:b w:val="0"/>
          <w:bCs w:val="0"/>
          <w:caps w:val="0"/>
          <w:color w:val="auto"/>
          <w:kern w:val="0"/>
          <w:sz w:val="32"/>
          <w:szCs w:val="32"/>
          <w:vertAlign w:val="baseline"/>
          <w:lang w:val="en-US" w:eastAsia="zh-CN" w:bidi="ar"/>
        </w:rPr>
        <w:t>敏感涉密项目</w:t>
      </w:r>
      <w:r>
        <w:rPr>
          <w:rFonts w:hint="eastAsia" w:ascii="仿宋_GB2312" w:eastAsia="仿宋_GB2312" w:cs="仿宋_GB2312"/>
          <w:kern w:val="0"/>
          <w:sz w:val="32"/>
          <w:szCs w:val="32"/>
          <w:lang w:eastAsia="zh-CN"/>
        </w:rPr>
        <w:t>。</w:t>
      </w:r>
    </w:p>
    <w:p w14:paraId="2DC9FBB7">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caps w:val="0"/>
          <w:color w:val="auto"/>
          <w:kern w:val="0"/>
          <w:sz w:val="32"/>
          <w:szCs w:val="32"/>
          <w:vertAlign w:val="baseline"/>
          <w:lang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所有项目均开展了绩效自评，其中非敏感涉密项目绩效自评结果为：</w:t>
      </w:r>
      <w:r>
        <w:rPr>
          <w:rFonts w:hint="eastAsia" w:ascii="仿宋_GB2312" w:eastAsia="仿宋_GB2312" w:cs="仿宋_GB2312"/>
          <w:b w:val="0"/>
          <w:bCs w:val="0"/>
          <w:caps w:val="0"/>
          <w:color w:val="auto"/>
          <w:kern w:val="0"/>
          <w:sz w:val="32"/>
          <w:szCs w:val="32"/>
          <w:vertAlign w:val="baseline"/>
          <w:lang w:val="en-US" w:eastAsia="zh-CN" w:bidi="ar"/>
        </w:rPr>
        <w:t>16</w:t>
      </w:r>
      <w:r>
        <w:rPr>
          <w:rFonts w:hint="eastAsia" w:ascii="仿宋_GB2312" w:hAnsi="Times New Roman" w:eastAsia="仿宋_GB2312" w:cs="仿宋_GB2312"/>
          <w:b w:val="0"/>
          <w:bCs w:val="0"/>
          <w:caps w:val="0"/>
          <w:color w:val="auto"/>
          <w:kern w:val="0"/>
          <w:sz w:val="32"/>
          <w:szCs w:val="32"/>
          <w:vertAlign w:val="baseline"/>
          <w:lang w:val="en-US" w:eastAsia="zh-CN" w:bidi="ar"/>
        </w:rPr>
        <w:t>个项目评为一等，涉及资金</w:t>
      </w:r>
      <w:r>
        <w:rPr>
          <w:rFonts w:hint="eastAsia" w:ascii="仿宋_GB2312" w:eastAsia="仿宋_GB2312" w:cs="仿宋_GB2312"/>
          <w:b w:val="0"/>
          <w:bCs w:val="0"/>
          <w:caps w:val="0"/>
          <w:color w:val="auto"/>
          <w:kern w:val="0"/>
          <w:sz w:val="32"/>
          <w:szCs w:val="32"/>
          <w:vertAlign w:val="baseline"/>
          <w:lang w:val="en-US" w:eastAsia="zh-CN" w:bidi="ar"/>
        </w:rPr>
        <w:t>3517.52</w:t>
      </w:r>
      <w:r>
        <w:rPr>
          <w:rFonts w:hint="eastAsia" w:ascii="仿宋_GB2312" w:hAnsi="Times New Roman" w:eastAsia="仿宋_GB2312" w:cs="仿宋_GB2312"/>
          <w:b w:val="0"/>
          <w:bCs w:val="0"/>
          <w:caps w:val="0"/>
          <w:color w:val="auto"/>
          <w:kern w:val="0"/>
          <w:sz w:val="32"/>
          <w:szCs w:val="32"/>
          <w:vertAlign w:val="baseline"/>
          <w:lang w:val="en-US" w:eastAsia="zh-CN" w:bidi="ar"/>
        </w:rPr>
        <w:t>万元，占项目总数比例</w:t>
      </w:r>
      <w:r>
        <w:rPr>
          <w:rFonts w:hint="eastAsia" w:ascii="仿宋_GB2312" w:eastAsia="仿宋_GB2312" w:cs="仿宋_GB2312"/>
          <w:b w:val="0"/>
          <w:bCs w:val="0"/>
          <w:caps w:val="0"/>
          <w:color w:val="auto"/>
          <w:kern w:val="0"/>
          <w:sz w:val="32"/>
          <w:szCs w:val="32"/>
          <w:highlight w:val="none"/>
          <w:vertAlign w:val="baseline"/>
          <w:lang w:val="en-US" w:eastAsia="zh-CN" w:bidi="ar"/>
        </w:rPr>
        <w:t>72.72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b w:val="0"/>
          <w:bCs w:val="0"/>
          <w:caps w:val="0"/>
          <w:color w:val="auto"/>
          <w:kern w:val="0"/>
          <w:sz w:val="32"/>
          <w:szCs w:val="32"/>
          <w:highlight w:val="none"/>
          <w:vertAlign w:val="baseline"/>
          <w:lang w:val="en-US" w:eastAsia="zh-CN" w:bidi="ar"/>
        </w:rPr>
        <w:t>81.54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b w:val="0"/>
          <w:bCs w:val="0"/>
          <w:caps w:val="0"/>
          <w:color w:val="auto"/>
          <w:kern w:val="0"/>
          <w:sz w:val="32"/>
          <w:szCs w:val="32"/>
          <w:highlight w:val="none"/>
          <w:vertAlign w:val="baseline"/>
          <w:lang w:val="en-US" w:eastAsia="zh-CN" w:bidi="ar"/>
        </w:rPr>
        <w:t>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个项目评为二等，涉及资金</w:t>
      </w:r>
      <w:r>
        <w:rPr>
          <w:rFonts w:hint="eastAsia" w:ascii="仿宋_GB2312" w:eastAsia="仿宋_GB2312" w:cs="仿宋_GB2312"/>
          <w:b w:val="0"/>
          <w:bCs w:val="0"/>
          <w:caps w:val="0"/>
          <w:color w:val="auto"/>
          <w:kern w:val="0"/>
          <w:sz w:val="32"/>
          <w:szCs w:val="32"/>
          <w:highlight w:val="none"/>
          <w:vertAlign w:val="baseline"/>
          <w:lang w:val="en-US" w:eastAsia="zh-CN" w:bidi="ar"/>
        </w:rPr>
        <w:t>684.81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9.09</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%，占项目支出总额比例</w:t>
      </w:r>
      <w:r>
        <w:rPr>
          <w:rFonts w:hint="eastAsia" w:ascii="仿宋_GB2312" w:eastAsia="仿宋_GB2312" w:cs="仿宋_GB2312"/>
          <w:kern w:val="0"/>
          <w:sz w:val="32"/>
          <w:szCs w:val="32"/>
          <w:highlight w:val="none"/>
          <w:lang w:val="en-US" w:eastAsia="zh-CN"/>
        </w:rPr>
        <w:t>15.88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b w:val="0"/>
          <w:bCs w:val="0"/>
          <w:caps w:val="0"/>
          <w:color w:val="auto"/>
          <w:kern w:val="0"/>
          <w:sz w:val="32"/>
          <w:szCs w:val="32"/>
          <w:highlight w:val="none"/>
          <w:vertAlign w:val="baseline"/>
          <w:lang w:val="en-US" w:eastAsia="zh-CN" w:bidi="ar"/>
        </w:rPr>
        <w:t>3</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个项目评为三等，涉及资金</w:t>
      </w:r>
      <w:r>
        <w:rPr>
          <w:rFonts w:hint="eastAsia" w:ascii="仿宋_GB2312" w:eastAsia="仿宋_GB2312" w:cs="仿宋_GB2312"/>
          <w:b w:val="0"/>
          <w:bCs w:val="0"/>
          <w:caps w:val="0"/>
          <w:color w:val="auto"/>
          <w:kern w:val="0"/>
          <w:sz w:val="32"/>
          <w:szCs w:val="32"/>
          <w:highlight w:val="none"/>
          <w:vertAlign w:val="baseline"/>
          <w:lang w:val="en-US" w:eastAsia="zh-CN" w:bidi="ar"/>
        </w:rPr>
        <w:t>111.27</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13.64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%，占项目支出总额比例</w:t>
      </w:r>
      <w:r>
        <w:rPr>
          <w:rFonts w:hint="eastAsia" w:ascii="仿宋_GB2312" w:eastAsia="仿宋_GB2312" w:cs="仿宋_GB2312"/>
          <w:kern w:val="0"/>
          <w:sz w:val="32"/>
          <w:szCs w:val="32"/>
          <w:highlight w:val="none"/>
          <w:lang w:val="en-US" w:eastAsia="zh-CN"/>
        </w:rPr>
        <w:t>2.58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w:t>
      </w:r>
      <w:r>
        <w:rPr>
          <w:rFonts w:hint="eastAsia" w:ascii="仿宋_GB2312" w:eastAsia="仿宋_GB2312" w:cs="仿宋_GB2312"/>
          <w:b w:val="0"/>
          <w:bCs w:val="0"/>
          <w:caps w:val="0"/>
          <w:color w:val="auto"/>
          <w:kern w:val="0"/>
          <w:sz w:val="32"/>
          <w:szCs w:val="32"/>
          <w:highlight w:val="none"/>
          <w:vertAlign w:val="baseline"/>
          <w:lang w:val="en-US" w:eastAsia="zh-CN" w:bidi="ar"/>
        </w:rPr>
        <w:t>；1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w:t>
      </w:r>
      <w:r>
        <w:rPr>
          <w:rFonts w:hint="eastAsia" w:ascii="仿宋_GB2312" w:eastAsia="仿宋_GB2312" w:cs="仿宋_GB2312"/>
          <w:b w:val="0"/>
          <w:bCs w:val="0"/>
          <w:caps w:val="0"/>
          <w:color w:val="auto"/>
          <w:kern w:val="0"/>
          <w:sz w:val="32"/>
          <w:szCs w:val="32"/>
          <w:highlight w:val="none"/>
          <w:vertAlign w:val="baseline"/>
          <w:lang w:val="en-US" w:eastAsia="zh-CN" w:bidi="ar"/>
        </w:rPr>
        <w:t>四</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等，涉及资金</w:t>
      </w:r>
      <w:r>
        <w:rPr>
          <w:rFonts w:hint="eastAsia" w:ascii="仿宋_GB2312" w:eastAsia="仿宋_GB2312" w:cs="仿宋_GB2312"/>
          <w:b w:val="0"/>
          <w:bCs w:val="0"/>
          <w:caps w:val="0"/>
          <w:color w:val="auto"/>
          <w:kern w:val="0"/>
          <w:sz w:val="32"/>
          <w:szCs w:val="32"/>
          <w:highlight w:val="none"/>
          <w:vertAlign w:val="baseline"/>
          <w:lang w:val="en-US" w:eastAsia="zh-CN" w:bidi="ar"/>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4.55</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w:t>
      </w:r>
      <w:r>
        <w:rPr>
          <w:rFonts w:hint="eastAsia" w:ascii="仿宋_GB2312" w:eastAsia="仿宋_GB2312" w:cs="仿宋_GB2312"/>
          <w:b w:val="0"/>
          <w:bCs w:val="0"/>
          <w:caps w:val="0"/>
          <w:color w:val="auto"/>
          <w:kern w:val="0"/>
          <w:sz w:val="32"/>
          <w:szCs w:val="32"/>
          <w:highlight w:val="none"/>
          <w:vertAlign w:val="baseline"/>
          <w:lang w:val="en-US" w:eastAsia="zh-CN" w:bidi="ar"/>
        </w:rPr>
        <w:t>。</w:t>
      </w:r>
      <w:r>
        <w:rPr>
          <w:rFonts w:hint="eastAsia" w:ascii="仿宋_GB2312" w:hAnsi="Times New Roman" w:eastAsia="仿宋_GB2312" w:cs="仿宋_GB2312"/>
          <w:b w:val="0"/>
          <w:bCs w:val="0"/>
          <w:caps w:val="0"/>
          <w:color w:val="auto"/>
          <w:kern w:val="0"/>
          <w:sz w:val="32"/>
          <w:szCs w:val="32"/>
          <w:vertAlign w:val="baseline"/>
          <w:lang w:val="en-US" w:eastAsia="zh-CN" w:bidi="ar"/>
        </w:rPr>
        <w:t>自评发现的主要问题及原因：一是预算绩效指标制定不够合理，原因是预算项目指标制定过程中业务部门参与不够；二是预算绩效跟踪不到位，原因是对项目执行过程中绩效跟踪缺乏有效沟通和反馈。下一步改进措施：一是完善预算绩效管理制度；二是加强财务部门与项目部门的沟通，及时反馈项目执行情况；三是根据项目目标并结合实际，合理制定预算绩效指标。</w:t>
      </w:r>
    </w:p>
    <w:p w14:paraId="4EB4853A">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default" w:ascii="仿宋_GB2312" w:eastAsia="仿宋_GB2312" w:cs="仿宋_GB2312"/>
          <w:caps w:val="0"/>
          <w:color w:val="auto"/>
          <w:kern w:val="0"/>
          <w:sz w:val="32"/>
          <w:szCs w:val="32"/>
          <w:highlight w:val="none"/>
          <w:vertAlign w:val="baseline"/>
          <w:lang w:val="en-US" w:eastAsia="zh-CN" w:bidi="ar"/>
        </w:rPr>
      </w:pPr>
      <w:r>
        <w:rPr>
          <w:rFonts w:hint="eastAsia" w:ascii="仿宋_GB2312" w:eastAsia="仿宋_GB2312" w:cs="仿宋_GB2312"/>
          <w:b w:val="0"/>
          <w:bCs w:val="0"/>
          <w:caps w:val="0"/>
          <w:color w:val="auto"/>
          <w:kern w:val="0"/>
          <w:sz w:val="32"/>
          <w:szCs w:val="32"/>
          <w:highlight w:val="none"/>
          <w:vertAlign w:val="baseline"/>
          <w:lang w:val="en-US" w:eastAsia="zh-CN" w:bidi="ar"/>
        </w:rPr>
        <w:t>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部分重点项目绩效自评情况：根据年初设定的绩效目标，国际班合作项目自评得分为</w:t>
      </w:r>
      <w:r>
        <w:rPr>
          <w:rFonts w:hint="eastAsia" w:ascii="仿宋_GB2312" w:eastAsia="仿宋_GB2312" w:cs="仿宋_GB2312"/>
          <w:b w:val="0"/>
          <w:bCs w:val="0"/>
          <w:caps w:val="0"/>
          <w:color w:val="auto"/>
          <w:kern w:val="0"/>
          <w:sz w:val="32"/>
          <w:szCs w:val="32"/>
          <w:highlight w:val="none"/>
          <w:vertAlign w:val="baseline"/>
          <w:lang w:val="en-US" w:eastAsia="zh-CN" w:bidi="ar"/>
        </w:rPr>
        <w:t>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分，项目全年预算数为</w:t>
      </w:r>
      <w:r>
        <w:rPr>
          <w:rFonts w:hint="eastAsia" w:ascii="仿宋_GB2312" w:eastAsia="仿宋_GB2312" w:cs="仿宋_GB2312"/>
          <w:kern w:val="0"/>
          <w:sz w:val="32"/>
          <w:szCs w:val="32"/>
          <w:highlight w:val="none"/>
          <w:lang w:val="en-US" w:eastAsia="zh-CN"/>
        </w:rPr>
        <w:t>850.00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万元，执行数为</w:t>
      </w:r>
      <w:r>
        <w:rPr>
          <w:rFonts w:hint="eastAsia" w:ascii="仿宋_GB2312" w:eastAsia="仿宋_GB2312" w:cs="仿宋_GB2312"/>
          <w:kern w:val="0"/>
          <w:sz w:val="32"/>
          <w:szCs w:val="32"/>
          <w:highlight w:val="none"/>
          <w:lang w:val="en-US" w:eastAsia="zh-CN"/>
        </w:rPr>
        <w:t>850.00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万元，完成预算的</w:t>
      </w:r>
      <w:r>
        <w:rPr>
          <w:rFonts w:hint="eastAsia" w:ascii="仿宋_GB2312" w:eastAsia="仿宋_GB2312" w:cs="仿宋_GB2312"/>
          <w:kern w:val="0"/>
          <w:sz w:val="32"/>
          <w:szCs w:val="32"/>
          <w:highlight w:val="none"/>
          <w:lang w:val="en-US" w:eastAsia="zh-CN"/>
        </w:rPr>
        <w:t>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%。项目绩效目标完成情况：一是数量指标方面，年赴港参加美国高考人数</w:t>
      </w:r>
      <w:r>
        <w:rPr>
          <w:rFonts w:hint="eastAsia" w:ascii="仿宋_GB2312" w:eastAsia="仿宋_GB2312" w:cs="仿宋_GB2312"/>
          <w:b w:val="0"/>
          <w:bCs w:val="0"/>
          <w:caps w:val="0"/>
          <w:color w:val="auto"/>
          <w:kern w:val="0"/>
          <w:sz w:val="32"/>
          <w:szCs w:val="32"/>
          <w:highlight w:val="none"/>
          <w:vertAlign w:val="baseline"/>
          <w:lang w:val="en-US" w:eastAsia="zh-CN" w:bidi="ar"/>
        </w:rPr>
        <w:t>约50人</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；二是质量指标方面，美国高考通过率≥90%</w:t>
      </w:r>
      <w:r>
        <w:rPr>
          <w:rFonts w:hint="eastAsia" w:ascii="仿宋_GB2312" w:eastAsia="仿宋_GB2312" w:cs="仿宋_GB2312"/>
          <w:b w:val="0"/>
          <w:bCs w:val="0"/>
          <w:caps w:val="0"/>
          <w:color w:val="auto"/>
          <w:kern w:val="0"/>
          <w:sz w:val="32"/>
          <w:szCs w:val="32"/>
          <w:highlight w:val="none"/>
          <w:vertAlign w:val="baseline"/>
          <w:lang w:val="en-US" w:eastAsia="zh-CN" w:bidi="ar"/>
        </w:rPr>
        <w:t>；三是可持续效益指标方面，促进中美教育交流与衔接，萃取两国高中教育模式精髓和塑造具有国际竞争力的复合人才。</w:t>
      </w:r>
    </w:p>
    <w:p w14:paraId="4FB81A0D">
      <w:pPr>
        <w:autoSpaceDE w:val="0"/>
        <w:autoSpaceDN w:val="0"/>
        <w:adjustRightInd w:val="0"/>
        <w:spacing w:line="560" w:lineRule="exact"/>
        <w:jc w:val="both"/>
        <w:rPr>
          <w:rFonts w:hint="eastAsia" w:ascii="黑体" w:hAnsi="黑体" w:eastAsia="黑体" w:cs="仿宋_GB2312"/>
          <w:kern w:val="0"/>
          <w:sz w:val="32"/>
          <w:szCs w:val="32"/>
        </w:rPr>
      </w:pPr>
    </w:p>
    <w:p w14:paraId="59995ECE">
      <w:pPr>
        <w:autoSpaceDE w:val="0"/>
        <w:autoSpaceDN w:val="0"/>
        <w:adjustRightInd w:val="0"/>
        <w:spacing w:line="560" w:lineRule="exact"/>
        <w:jc w:val="both"/>
        <w:rPr>
          <w:rFonts w:hint="eastAsia" w:ascii="黑体" w:hAnsi="黑体" w:eastAsia="黑体" w:cs="仿宋_GB2312"/>
          <w:kern w:val="0"/>
          <w:sz w:val="32"/>
          <w:szCs w:val="32"/>
        </w:rPr>
      </w:pPr>
    </w:p>
    <w:p w14:paraId="0BE37EF7">
      <w:pPr>
        <w:autoSpaceDE w:val="0"/>
        <w:autoSpaceDN w:val="0"/>
        <w:adjustRightInd w:val="0"/>
        <w:spacing w:line="560" w:lineRule="exact"/>
        <w:jc w:val="center"/>
        <w:rPr>
          <w:rFonts w:hint="eastAsia" w:ascii="黑体" w:hAnsi="黑体" w:eastAsia="黑体" w:cs="仿宋_GB2312"/>
          <w:kern w:val="0"/>
          <w:sz w:val="32"/>
          <w:szCs w:val="32"/>
        </w:rPr>
      </w:pPr>
    </w:p>
    <w:p w14:paraId="30BAC320">
      <w:pPr>
        <w:autoSpaceDE w:val="0"/>
        <w:autoSpaceDN w:val="0"/>
        <w:adjustRightInd w:val="0"/>
        <w:spacing w:line="560" w:lineRule="exact"/>
        <w:jc w:val="center"/>
        <w:rPr>
          <w:rFonts w:hint="eastAsia" w:ascii="黑体" w:hAnsi="黑体" w:eastAsia="黑体" w:cs="仿宋_GB2312"/>
          <w:kern w:val="0"/>
          <w:sz w:val="32"/>
          <w:szCs w:val="32"/>
        </w:rPr>
      </w:pPr>
    </w:p>
    <w:p w14:paraId="31353091">
      <w:pPr>
        <w:autoSpaceDE w:val="0"/>
        <w:autoSpaceDN w:val="0"/>
        <w:adjustRightInd w:val="0"/>
        <w:spacing w:line="560" w:lineRule="exact"/>
        <w:jc w:val="center"/>
        <w:rPr>
          <w:rFonts w:hint="eastAsia" w:ascii="黑体" w:hAnsi="黑体" w:eastAsia="黑体" w:cs="仿宋_GB2312"/>
          <w:kern w:val="0"/>
          <w:sz w:val="32"/>
          <w:szCs w:val="32"/>
        </w:rPr>
      </w:pPr>
    </w:p>
    <w:p w14:paraId="6675B609">
      <w:pPr>
        <w:autoSpaceDE w:val="0"/>
        <w:autoSpaceDN w:val="0"/>
        <w:adjustRightInd w:val="0"/>
        <w:spacing w:line="560" w:lineRule="exact"/>
        <w:jc w:val="center"/>
        <w:rPr>
          <w:rFonts w:hint="eastAsia" w:ascii="黑体" w:hAnsi="黑体" w:eastAsia="黑体" w:cs="仿宋_GB2312"/>
          <w:kern w:val="0"/>
          <w:sz w:val="32"/>
          <w:szCs w:val="32"/>
        </w:rPr>
      </w:pPr>
    </w:p>
    <w:p w14:paraId="75945061">
      <w:pPr>
        <w:autoSpaceDE w:val="0"/>
        <w:autoSpaceDN w:val="0"/>
        <w:adjustRightInd w:val="0"/>
        <w:spacing w:line="560" w:lineRule="exact"/>
        <w:jc w:val="center"/>
        <w:rPr>
          <w:rFonts w:hint="eastAsia" w:ascii="黑体" w:hAnsi="黑体" w:eastAsia="黑体" w:cs="仿宋_GB2312"/>
          <w:kern w:val="0"/>
          <w:sz w:val="32"/>
          <w:szCs w:val="32"/>
        </w:rPr>
      </w:pPr>
    </w:p>
    <w:p w14:paraId="64FD4A2E">
      <w:pPr>
        <w:autoSpaceDE w:val="0"/>
        <w:autoSpaceDN w:val="0"/>
        <w:adjustRightInd w:val="0"/>
        <w:spacing w:line="560" w:lineRule="exact"/>
        <w:jc w:val="center"/>
        <w:rPr>
          <w:rFonts w:hint="eastAsia" w:ascii="黑体" w:hAnsi="黑体" w:eastAsia="黑体" w:cs="仿宋_GB2312"/>
          <w:kern w:val="0"/>
          <w:sz w:val="32"/>
          <w:szCs w:val="32"/>
        </w:rPr>
      </w:pPr>
    </w:p>
    <w:p w14:paraId="16E0B367">
      <w:pPr>
        <w:autoSpaceDE w:val="0"/>
        <w:autoSpaceDN w:val="0"/>
        <w:adjustRightInd w:val="0"/>
        <w:spacing w:line="560" w:lineRule="exact"/>
        <w:jc w:val="center"/>
        <w:rPr>
          <w:rFonts w:hint="eastAsia" w:ascii="黑体" w:hAnsi="黑体" w:eastAsia="黑体" w:cs="仿宋_GB2312"/>
          <w:kern w:val="0"/>
          <w:sz w:val="32"/>
          <w:szCs w:val="32"/>
        </w:rPr>
      </w:pPr>
    </w:p>
    <w:p w14:paraId="6292534A">
      <w:pPr>
        <w:autoSpaceDE w:val="0"/>
        <w:autoSpaceDN w:val="0"/>
        <w:adjustRightInd w:val="0"/>
        <w:spacing w:line="560" w:lineRule="exact"/>
        <w:jc w:val="center"/>
        <w:rPr>
          <w:rFonts w:hint="eastAsia" w:ascii="黑体" w:hAnsi="黑体" w:eastAsia="黑体" w:cs="仿宋_GB2312"/>
          <w:kern w:val="0"/>
          <w:sz w:val="32"/>
          <w:szCs w:val="32"/>
        </w:rPr>
      </w:pPr>
    </w:p>
    <w:p w14:paraId="3FB8722E">
      <w:pPr>
        <w:autoSpaceDE w:val="0"/>
        <w:autoSpaceDN w:val="0"/>
        <w:adjustRightInd w:val="0"/>
        <w:spacing w:line="560" w:lineRule="exact"/>
        <w:jc w:val="both"/>
        <w:rPr>
          <w:rFonts w:hint="eastAsia" w:ascii="黑体" w:hAnsi="黑体" w:eastAsia="黑体" w:cs="仿宋_GB2312"/>
          <w:kern w:val="0"/>
          <w:sz w:val="32"/>
          <w:szCs w:val="32"/>
        </w:rPr>
      </w:pPr>
    </w:p>
    <w:p w14:paraId="50DF42B3">
      <w:pPr>
        <w:pStyle w:val="2"/>
        <w:rPr>
          <w:rFonts w:hint="eastAsia" w:ascii="黑体" w:hAnsi="黑体" w:eastAsia="黑体" w:cs="仿宋_GB2312"/>
          <w:kern w:val="0"/>
          <w:sz w:val="32"/>
          <w:szCs w:val="32"/>
        </w:rPr>
      </w:pPr>
    </w:p>
    <w:p w14:paraId="34604FFC">
      <w:pPr>
        <w:pStyle w:val="2"/>
        <w:rPr>
          <w:rFonts w:hint="eastAsia" w:ascii="黑体" w:hAnsi="黑体" w:eastAsia="黑体" w:cs="仿宋_GB2312"/>
          <w:kern w:val="0"/>
          <w:sz w:val="32"/>
          <w:szCs w:val="32"/>
        </w:rPr>
      </w:pPr>
    </w:p>
    <w:p w14:paraId="060395C5">
      <w:pPr>
        <w:pStyle w:val="2"/>
        <w:rPr>
          <w:rFonts w:hint="eastAsia" w:ascii="黑体" w:hAnsi="黑体" w:eastAsia="黑体" w:cs="仿宋_GB2312"/>
          <w:kern w:val="0"/>
          <w:sz w:val="32"/>
          <w:szCs w:val="32"/>
        </w:rPr>
      </w:pPr>
    </w:p>
    <w:p w14:paraId="6E33A461">
      <w:pPr>
        <w:pStyle w:val="2"/>
        <w:rPr>
          <w:rFonts w:hint="eastAsia" w:ascii="黑体" w:hAnsi="黑体" w:eastAsia="黑体" w:cs="仿宋_GB2312"/>
          <w:kern w:val="0"/>
          <w:sz w:val="32"/>
          <w:szCs w:val="32"/>
        </w:rPr>
      </w:pPr>
    </w:p>
    <w:p w14:paraId="3721787F">
      <w:pPr>
        <w:pStyle w:val="2"/>
        <w:rPr>
          <w:rFonts w:hint="eastAsia" w:ascii="黑体" w:hAnsi="黑体" w:eastAsia="黑体" w:cs="仿宋_GB2312"/>
          <w:kern w:val="0"/>
          <w:sz w:val="32"/>
          <w:szCs w:val="32"/>
        </w:rPr>
      </w:pPr>
    </w:p>
    <w:p w14:paraId="40B2C47E">
      <w:pPr>
        <w:pStyle w:val="2"/>
        <w:rPr>
          <w:rFonts w:hint="eastAsia" w:ascii="黑体" w:hAnsi="黑体" w:eastAsia="黑体" w:cs="仿宋_GB2312"/>
          <w:kern w:val="0"/>
          <w:sz w:val="32"/>
          <w:szCs w:val="32"/>
        </w:rPr>
      </w:pPr>
    </w:p>
    <w:p w14:paraId="13D533A9">
      <w:pPr>
        <w:pStyle w:val="2"/>
        <w:rPr>
          <w:rFonts w:hint="eastAsia" w:ascii="黑体" w:hAnsi="黑体" w:eastAsia="黑体" w:cs="仿宋_GB2312"/>
          <w:kern w:val="0"/>
          <w:sz w:val="32"/>
          <w:szCs w:val="32"/>
        </w:rPr>
      </w:pPr>
    </w:p>
    <w:p w14:paraId="6DA7C448">
      <w:pPr>
        <w:pStyle w:val="2"/>
        <w:rPr>
          <w:rFonts w:hint="eastAsia" w:ascii="黑体" w:hAnsi="黑体" w:eastAsia="黑体" w:cs="仿宋_GB2312"/>
          <w:kern w:val="0"/>
          <w:sz w:val="32"/>
          <w:szCs w:val="32"/>
        </w:rPr>
      </w:pPr>
    </w:p>
    <w:p w14:paraId="15138AC7">
      <w:pPr>
        <w:autoSpaceDE w:val="0"/>
        <w:autoSpaceDN w:val="0"/>
        <w:adjustRightInd w:val="0"/>
        <w:spacing w:line="560" w:lineRule="exact"/>
        <w:jc w:val="center"/>
        <w:rPr>
          <w:rFonts w:hint="eastAsia" w:ascii="黑体" w:hAnsi="黑体" w:eastAsia="黑体" w:cs="仿宋_GB2312"/>
          <w:kern w:val="0"/>
          <w:sz w:val="32"/>
          <w:szCs w:val="32"/>
        </w:rPr>
      </w:pPr>
    </w:p>
    <w:p w14:paraId="0AE2F07F">
      <w:pPr>
        <w:autoSpaceDE w:val="0"/>
        <w:autoSpaceDN w:val="0"/>
        <w:adjustRightInd w:val="0"/>
        <w:spacing w:line="560" w:lineRule="exact"/>
        <w:jc w:val="center"/>
        <w:rPr>
          <w:rFonts w:hint="eastAsia" w:ascii="黑体" w:hAnsi="黑体" w:eastAsia="黑体" w:cs="仿宋_GB2312"/>
          <w:kern w:val="0"/>
          <w:sz w:val="32"/>
          <w:szCs w:val="32"/>
        </w:rPr>
      </w:pPr>
    </w:p>
    <w:p w14:paraId="431E7412">
      <w:pPr>
        <w:autoSpaceDE w:val="0"/>
        <w:autoSpaceDN w:val="0"/>
        <w:adjustRightInd w:val="0"/>
        <w:spacing w:line="560" w:lineRule="exact"/>
        <w:jc w:val="center"/>
        <w:rPr>
          <w:rFonts w:hint="eastAsia" w:ascii="黑体" w:hAnsi="黑体" w:eastAsia="黑体" w:cs="仿宋_GB2312"/>
          <w:kern w:val="0"/>
          <w:sz w:val="32"/>
          <w:szCs w:val="32"/>
        </w:rPr>
      </w:pPr>
    </w:p>
    <w:p w14:paraId="71A047C3">
      <w:pPr>
        <w:autoSpaceDE w:val="0"/>
        <w:autoSpaceDN w:val="0"/>
        <w:adjustRightInd w:val="0"/>
        <w:spacing w:line="560" w:lineRule="exact"/>
        <w:jc w:val="center"/>
        <w:rPr>
          <w:rFonts w:hint="eastAsia" w:ascii="黑体" w:hAnsi="黑体" w:eastAsia="黑体" w:cs="仿宋_GB2312"/>
          <w:kern w:val="0"/>
          <w:sz w:val="32"/>
          <w:szCs w:val="32"/>
        </w:rPr>
      </w:pPr>
    </w:p>
    <w:p w14:paraId="3C532BC9">
      <w:pPr>
        <w:autoSpaceDE w:val="0"/>
        <w:autoSpaceDN w:val="0"/>
        <w:adjustRightInd w:val="0"/>
        <w:spacing w:line="560" w:lineRule="exact"/>
        <w:jc w:val="center"/>
        <w:rPr>
          <w:rFonts w:hint="eastAsia" w:ascii="黑体" w:hAnsi="黑体" w:eastAsia="黑体" w:cs="仿宋_GB2312"/>
          <w:kern w:val="0"/>
          <w:sz w:val="32"/>
          <w:szCs w:val="32"/>
        </w:rPr>
      </w:pPr>
    </w:p>
    <w:p w14:paraId="2A2DCDFF">
      <w:pPr>
        <w:autoSpaceDE w:val="0"/>
        <w:autoSpaceDN w:val="0"/>
        <w:adjustRightInd w:val="0"/>
        <w:spacing w:line="560" w:lineRule="exact"/>
        <w:jc w:val="center"/>
        <w:rPr>
          <w:rFonts w:hint="eastAsia"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4BB6C80B">
      <w:pPr>
        <w:spacing w:line="560" w:lineRule="exact"/>
        <w:ind w:firstLine="640"/>
        <w:rPr>
          <w:rFonts w:hint="eastAsia" w:ascii="仿宋_GB2312" w:eastAsia="仿宋_GB2312"/>
          <w:sz w:val="32"/>
          <w:szCs w:val="32"/>
        </w:rPr>
      </w:pPr>
      <w:r>
        <w:rPr>
          <w:rFonts w:hint="eastAsia" w:ascii="仿宋_GB2312" w:eastAsia="仿宋_GB2312"/>
          <w:sz w:val="32"/>
          <w:szCs w:val="32"/>
        </w:rPr>
        <w:t xml:space="preserve">一、财政拨款收入：指自治区财政部门当年拨付的资金。 </w:t>
      </w:r>
    </w:p>
    <w:p w14:paraId="76106D14">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6C5F56A9">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17C1B2A5">
      <w:pPr>
        <w:spacing w:line="560" w:lineRule="exact"/>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7A389B4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五、使用非财政拨款结余</w:t>
      </w:r>
      <w:r>
        <w:rPr>
          <w:rFonts w:hint="eastAsia" w:ascii="仿宋_GB2312" w:eastAsia="仿宋_GB2312"/>
          <w:sz w:val="32"/>
          <w:szCs w:val="32"/>
          <w:lang w:eastAsia="zh-CN"/>
        </w:rPr>
        <w:t>（含专用结余）</w:t>
      </w:r>
      <w:r>
        <w:rPr>
          <w:rFonts w:hint="eastAsia" w:ascii="仿宋_GB2312" w:eastAsia="仿宋_GB2312"/>
          <w:sz w:val="32"/>
          <w:szCs w:val="32"/>
        </w:rPr>
        <w:t xml:space="preserve">：指事业单位在当年的“财政拨款收入”“事业收入”“经营收入”“其他收入”不足以安排当年支出的情况下，使用非财政拨款结余、专用结余弥补本年度收支缺口的资金。 </w:t>
      </w:r>
    </w:p>
    <w:p w14:paraId="0B19854B">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14:paraId="6B9B050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0913752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0C604D1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7799CDE4">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4A4BDDCE">
      <w:pPr>
        <w:spacing w:line="560" w:lineRule="exact"/>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21A2CCE1">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C6BCC82">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0379BD">
      <w:pPr>
        <w:widowControl w:val="0"/>
        <w:spacing w:line="560" w:lineRule="exact"/>
        <w:ind w:firstLine="640" w:firstLineChars="200"/>
        <w:jc w:val="left"/>
        <w:rPr>
          <w:rFonts w:hint="eastAsia" w:ascii="黑体" w:hAnsi="黑体" w:eastAsia="黑体" w:cs="仿宋_GB2312"/>
          <w:kern w:val="0"/>
          <w:sz w:val="32"/>
          <w:szCs w:val="32"/>
        </w:rPr>
      </w:pPr>
    </w:p>
    <w:p w14:paraId="0F626AC8"/>
    <w:sectPr>
      <w:pgSz w:w="11906" w:h="16838"/>
      <w:pgMar w:top="1701" w:right="1474" w:bottom="124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01B41">
    <w:pPr>
      <w:pStyle w:val="2"/>
      <w:ind w:right="28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99748">
    <w:pPr>
      <w:pStyle w:val="2"/>
      <w:ind w:firstLine="420" w:firstLineChars="150"/>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23935"/>
    <w:multiLevelType w:val="singleLevel"/>
    <w:tmpl w:val="A4C23935"/>
    <w:lvl w:ilvl="0" w:tentative="0">
      <w:start w:val="1"/>
      <w:numFmt w:val="chineseCounting"/>
      <w:suff w:val="nothing"/>
      <w:lvlText w:val="（%1）"/>
      <w:lvlJc w:val="left"/>
      <w:rPr>
        <w:rFonts w:hint="eastAsia"/>
      </w:rPr>
    </w:lvl>
  </w:abstractNum>
  <w:abstractNum w:abstractNumId="1">
    <w:nsid w:val="B75B42D6"/>
    <w:multiLevelType w:val="singleLevel"/>
    <w:tmpl w:val="B75B42D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14B2F"/>
    <w:rsid w:val="01E23011"/>
    <w:rsid w:val="01FB0577"/>
    <w:rsid w:val="06943F02"/>
    <w:rsid w:val="07ED44BE"/>
    <w:rsid w:val="08962DA7"/>
    <w:rsid w:val="08B375BF"/>
    <w:rsid w:val="091410E7"/>
    <w:rsid w:val="09491D98"/>
    <w:rsid w:val="0B393220"/>
    <w:rsid w:val="0C1A4B15"/>
    <w:rsid w:val="0CDD66EE"/>
    <w:rsid w:val="0DFB01BB"/>
    <w:rsid w:val="10812C34"/>
    <w:rsid w:val="12F608A2"/>
    <w:rsid w:val="176C53FF"/>
    <w:rsid w:val="1A0A53A3"/>
    <w:rsid w:val="1B082031"/>
    <w:rsid w:val="1EB038E9"/>
    <w:rsid w:val="1ED439A9"/>
    <w:rsid w:val="24C96CE7"/>
    <w:rsid w:val="25A81599"/>
    <w:rsid w:val="2B8C4734"/>
    <w:rsid w:val="2BFF463C"/>
    <w:rsid w:val="2EAF7625"/>
    <w:rsid w:val="3335354B"/>
    <w:rsid w:val="338813BB"/>
    <w:rsid w:val="34063FAB"/>
    <w:rsid w:val="35906305"/>
    <w:rsid w:val="364614CE"/>
    <w:rsid w:val="3A893C1B"/>
    <w:rsid w:val="3F6F51DD"/>
    <w:rsid w:val="453E3511"/>
    <w:rsid w:val="456B2161"/>
    <w:rsid w:val="4577303D"/>
    <w:rsid w:val="46D34185"/>
    <w:rsid w:val="4A6F2535"/>
    <w:rsid w:val="4C8C3872"/>
    <w:rsid w:val="4E0D4FC3"/>
    <w:rsid w:val="50914B2F"/>
    <w:rsid w:val="53C8106F"/>
    <w:rsid w:val="542839C5"/>
    <w:rsid w:val="56FD192F"/>
    <w:rsid w:val="58923791"/>
    <w:rsid w:val="59BA1E24"/>
    <w:rsid w:val="5BCF72D8"/>
    <w:rsid w:val="5C2042B0"/>
    <w:rsid w:val="6057789C"/>
    <w:rsid w:val="610B0DB2"/>
    <w:rsid w:val="61BA27D8"/>
    <w:rsid w:val="61DF1A53"/>
    <w:rsid w:val="62683FE2"/>
    <w:rsid w:val="62EE63FA"/>
    <w:rsid w:val="63116428"/>
    <w:rsid w:val="646E0010"/>
    <w:rsid w:val="67A567F5"/>
    <w:rsid w:val="690F7815"/>
    <w:rsid w:val="691D780B"/>
    <w:rsid w:val="69561C38"/>
    <w:rsid w:val="69EA5239"/>
    <w:rsid w:val="6B6C2192"/>
    <w:rsid w:val="6DFC319F"/>
    <w:rsid w:val="6EFF1A27"/>
    <w:rsid w:val="72A93DF6"/>
    <w:rsid w:val="738E59B0"/>
    <w:rsid w:val="74790053"/>
    <w:rsid w:val="74DA35F8"/>
    <w:rsid w:val="785B4EB5"/>
    <w:rsid w:val="78D65E5D"/>
    <w:rsid w:val="79016324"/>
    <w:rsid w:val="7A477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5234</Words>
  <Characters>5967</Characters>
  <Lines>0</Lines>
  <Paragraphs>0</Paragraphs>
  <TotalTime>54</TotalTime>
  <ScaleCrop>false</ScaleCrop>
  <LinksUpToDate>false</LinksUpToDate>
  <CharactersWithSpaces>5996</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2025-09-08T08:58:00Z</dcterms:created>
  <dc:creator>薄荷小姐</dc:creator>
  <cp:lastModifiedBy>薄荷小姐</cp:lastModifiedBy>
  <dcterms:modified xsi:type="dcterms:W3CDTF">2026-08-22T02:53:53Z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FA30A4102FC94A838EAE50CA6FE0A9F4_11</vt:lpwstr>
  </property>
  <property fmtid="{D5CDD505-2E9C-101B-9397-08002B2CF9AE}" pid="4" name="KSOTemplateDocerSaveRecord">
    <vt:lpwstr>eyJoZGlkIjoiOGI4NDQ4MmE2ODE4ZjQxNjFiYmQzY2Y4ZWUwZTBiYWYiLCJ1c2VySWQiOiIzMjMxMTI0ODcifQ==</vt:lpwstr>
  </property>
</Properties>
</file>